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7" w:rsidRPr="009D33D7" w:rsidRDefault="009D33D7" w:rsidP="009D33D7">
      <w:pPr>
        <w:jc w:val="center"/>
        <w:rPr>
          <w:rFonts w:ascii="Calibri" w:hAnsi="Calibri" w:cs="Calibri"/>
        </w:rPr>
      </w:pPr>
      <w:r w:rsidRPr="006E4E10">
        <w:rPr>
          <w:rFonts w:ascii="Calibri" w:hAnsi="Calibri" w:cs="Calibri"/>
        </w:rPr>
        <w:t xml:space="preserve">Základní škola Měcholupy, okres Louny, </w:t>
      </w:r>
      <w:proofErr w:type="spellStart"/>
      <w:r w:rsidRPr="006E4E10">
        <w:rPr>
          <w:rFonts w:ascii="Calibri" w:hAnsi="Calibri" w:cs="Calibri"/>
        </w:rPr>
        <w:t>Holedečská</w:t>
      </w:r>
      <w:proofErr w:type="spellEnd"/>
      <w:r w:rsidRPr="006E4E10">
        <w:rPr>
          <w:rFonts w:ascii="Calibri" w:hAnsi="Calibri" w:cs="Calibri"/>
        </w:rPr>
        <w:t xml:space="preserve"> 2, 43931 Měcholupy</w:t>
      </w:r>
    </w:p>
    <w:p w:rsidR="009D33D7" w:rsidRDefault="009D33D7" w:rsidP="00952643">
      <w:pPr>
        <w:spacing w:after="0" w:line="240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952643" w:rsidRPr="00952643" w:rsidRDefault="00952643" w:rsidP="00952643">
      <w:pPr>
        <w:spacing w:after="0" w:line="240" w:lineRule="auto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952643">
        <w:rPr>
          <w:rFonts w:asciiTheme="majorHAnsi" w:hAnsiTheme="majorHAnsi" w:cstheme="majorHAnsi"/>
          <w:b/>
          <w:color w:val="002060"/>
          <w:sz w:val="28"/>
          <w:szCs w:val="28"/>
        </w:rPr>
        <w:t>Školní jídelna a GDPR</w:t>
      </w:r>
    </w:p>
    <w:p w:rsidR="00952643" w:rsidRDefault="00952643" w:rsidP="00952643">
      <w:pPr>
        <w:spacing w:after="0" w:line="240" w:lineRule="auto"/>
        <w:rPr>
          <w:u w:val="single"/>
        </w:rPr>
      </w:pPr>
    </w:p>
    <w:p w:rsidR="00952643" w:rsidRPr="001B31F9" w:rsidRDefault="00952643" w:rsidP="00952643">
      <w:pPr>
        <w:spacing w:after="0" w:line="240" w:lineRule="auto"/>
        <w:rPr>
          <w:rFonts w:cstheme="minorHAnsi"/>
          <w:u w:val="single"/>
        </w:rPr>
      </w:pPr>
      <w:r w:rsidRPr="001B31F9">
        <w:rPr>
          <w:u w:val="single"/>
        </w:rPr>
        <w:t>Ochrana osobních údajů školní jídelna</w:t>
      </w:r>
    </w:p>
    <w:p w:rsidR="00952643" w:rsidRPr="001B31F9" w:rsidRDefault="00952643" w:rsidP="00952643">
      <w:pPr>
        <w:spacing w:after="0" w:line="240" w:lineRule="auto"/>
        <w:ind w:left="142" w:hanging="142"/>
        <w:rPr>
          <w:lang w:eastAsia="cs-CZ"/>
        </w:rPr>
      </w:pPr>
      <w:r w:rsidRPr="001B31F9">
        <w:rPr>
          <w:lang w:eastAsia="cs-CZ"/>
        </w:rPr>
        <w:t>Školní jídelna se při ochraně osobních údajů řídí všemi dokumenty školy (spisový a skartační řád, organizační řád, pracovní náplně, …).</w:t>
      </w:r>
    </w:p>
    <w:p w:rsidR="00952643" w:rsidRPr="001B31F9" w:rsidRDefault="00952643" w:rsidP="00952643">
      <w:pPr>
        <w:spacing w:after="0" w:line="240" w:lineRule="auto"/>
        <w:ind w:left="142" w:hanging="142"/>
        <w:rPr>
          <w:lang w:eastAsia="cs-CZ"/>
        </w:rPr>
      </w:pPr>
      <w:r w:rsidRPr="001B31F9">
        <w:rPr>
          <w:lang w:eastAsia="cs-CZ"/>
        </w:rPr>
        <w:t>Poskytování školního stravování je poskytováno na základě § 119 zákona školského zákona. Jedná se o zákonné zpracování osobních údajů dle článku 6 nařízení EU, není proto nutný informovaný souhlas žáků a zákonných zástupců žáků. Podmínkou je, aby údaje byly poskytována v rozsahu v nezbytném pro zabezpečení školního stravování.</w:t>
      </w:r>
    </w:p>
    <w:p w:rsidR="00952643" w:rsidRPr="001B31F9" w:rsidRDefault="00952643" w:rsidP="00952643">
      <w:pPr>
        <w:spacing w:after="0" w:line="240" w:lineRule="auto"/>
        <w:ind w:left="142" w:hanging="142"/>
        <w:rPr>
          <w:lang w:eastAsia="cs-CZ"/>
        </w:rPr>
      </w:pPr>
      <w:r w:rsidRPr="001B31F9">
        <w:rPr>
          <w:lang w:eastAsia="cs-CZ"/>
        </w:rPr>
        <w:t xml:space="preserve">Požaduje-li školní jídelny osobní informace další (například </w:t>
      </w:r>
      <w:r w:rsidRPr="001B31F9">
        <w:t>účet rodičů uvedený v informačním systému k evidenci obědů ve školní jídelně), je nezbytný informovaný souhlas.</w:t>
      </w:r>
    </w:p>
    <w:p w:rsidR="00013C71" w:rsidRDefault="00013C71" w:rsidP="00952643">
      <w:pPr>
        <w:pStyle w:val="Bezmezer"/>
      </w:pPr>
    </w:p>
    <w:p w:rsidR="00952643" w:rsidRPr="00952643" w:rsidRDefault="00952643" w:rsidP="00952643">
      <w:pPr>
        <w:spacing w:after="0" w:line="240" w:lineRule="auto"/>
        <w:rPr>
          <w:rFonts w:cstheme="minorHAnsi"/>
          <w:u w:val="single"/>
        </w:rPr>
      </w:pPr>
      <w:r w:rsidRPr="00952643">
        <w:rPr>
          <w:rFonts w:cstheme="minorHAnsi"/>
          <w:u w:val="single"/>
        </w:rPr>
        <w:t>Uzavírání smluv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  <w:r w:rsidRPr="00952643">
        <w:rPr>
          <w:rFonts w:cstheme="minorHAnsi"/>
        </w:rPr>
        <w:t>Škola, nejčastěji jako příspěvková organizace vstupuje, do řady právních vztahů, které jsou spojeny s 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  <w:r w:rsidRPr="00952643">
        <w:rPr>
          <w:rFonts w:cstheme="minorHAnsi"/>
        </w:rPr>
        <w:t>uzavíráním smluv. Škola například uzavírá darovací, nájemní, kupní nebo příkaz.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</w:p>
    <w:p w:rsidR="00952643" w:rsidRPr="00952643" w:rsidRDefault="00952643" w:rsidP="00952643">
      <w:pPr>
        <w:spacing w:after="0" w:line="240" w:lineRule="auto"/>
        <w:rPr>
          <w:rFonts w:cstheme="minorHAnsi"/>
          <w:u w:val="single"/>
        </w:rPr>
      </w:pPr>
      <w:r w:rsidRPr="00952643">
        <w:rPr>
          <w:rFonts w:cstheme="minorHAnsi"/>
          <w:u w:val="single"/>
        </w:rPr>
        <w:t>Osobní údaje a smlouvy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  <w:r w:rsidRPr="00952643">
        <w:rPr>
          <w:rFonts w:cstheme="minorHAnsi"/>
        </w:rPr>
        <w:t>Řada smluv obsahuje osobní údaje nebo na základě smluvního vztahu jako zpracovatelé pracují s osobními údaji správce (školy). Jedná se především o příkaz, kdy na základě smlouvy zpracovává firma pro školu například osobní údaje zaměstnanců za účelem zpracování platů nebo smlouvy uzavřené s poskytovateli informačních systémů či jiných IT služeb.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</w:p>
    <w:p w:rsidR="00952643" w:rsidRPr="00952643" w:rsidRDefault="00952643" w:rsidP="00952643">
      <w:pPr>
        <w:spacing w:after="0" w:line="240" w:lineRule="auto"/>
        <w:rPr>
          <w:rFonts w:cstheme="minorHAnsi"/>
          <w:u w:val="single"/>
        </w:rPr>
      </w:pPr>
      <w:r w:rsidRPr="00952643">
        <w:rPr>
          <w:rFonts w:cstheme="minorHAnsi"/>
          <w:u w:val="single"/>
        </w:rPr>
        <w:t>Smluvní právo</w:t>
      </w:r>
    </w:p>
    <w:p w:rsidR="00952643" w:rsidRPr="00952643" w:rsidRDefault="00952643" w:rsidP="009526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2643">
        <w:rPr>
          <w:rFonts w:cstheme="minorHAnsi"/>
          <w:b/>
          <w:lang w:eastAsia="cs-CZ"/>
        </w:rPr>
        <w:t>Smluvní právo</w:t>
      </w:r>
      <w:r w:rsidRPr="00952643">
        <w:rPr>
          <w:rFonts w:cstheme="minorHAnsi"/>
          <w:b/>
          <w:lang w:eastAsia="cs-CZ"/>
        </w:rPr>
        <w:fldChar w:fldCharType="begin"/>
      </w:r>
      <w:r w:rsidRPr="00952643">
        <w:rPr>
          <w:rFonts w:cstheme="minorHAnsi"/>
        </w:rPr>
        <w:instrText xml:space="preserve"> XE "</w:instrText>
      </w:r>
      <w:r w:rsidRPr="00952643">
        <w:rPr>
          <w:rFonts w:cstheme="minorHAnsi"/>
          <w:b/>
          <w:lang w:eastAsia="cs-CZ"/>
        </w:rPr>
        <w:instrText>Smluvní právo</w:instrText>
      </w:r>
      <w:r w:rsidRPr="00952643">
        <w:rPr>
          <w:rFonts w:cstheme="minorHAnsi"/>
        </w:rPr>
        <w:instrText xml:space="preserve">" </w:instrText>
      </w:r>
      <w:r w:rsidRPr="00952643">
        <w:rPr>
          <w:rFonts w:cstheme="minorHAnsi"/>
          <w:b/>
          <w:lang w:eastAsia="cs-CZ"/>
        </w:rPr>
        <w:fldChar w:fldCharType="end"/>
      </w:r>
      <w:r w:rsidRPr="00952643">
        <w:rPr>
          <w:rFonts w:cstheme="minorHAnsi"/>
          <w:lang w:eastAsia="cs-CZ"/>
        </w:rPr>
        <w:t xml:space="preserve"> (§ 1765 až 1766) stojí na zásadě, že </w:t>
      </w:r>
      <w:hyperlink r:id="rId4" w:history="1">
        <w:r w:rsidRPr="00952643">
          <w:rPr>
            <w:rFonts w:cstheme="minorHAnsi"/>
            <w:lang w:eastAsia="cs-CZ"/>
          </w:rPr>
          <w:t>smlouvy</w:t>
        </w:r>
      </w:hyperlink>
      <w:r w:rsidRPr="00952643">
        <w:rPr>
          <w:rFonts w:cstheme="minorHAnsi"/>
          <w:lang w:eastAsia="cs-CZ"/>
        </w:rPr>
        <w:t xml:space="preserve"> se mají plnit, neboť smlouva je </w:t>
      </w:r>
      <w:r w:rsidRPr="00952643">
        <w:rPr>
          <w:rFonts w:cstheme="minorHAnsi"/>
          <w:b/>
          <w:lang w:eastAsia="cs-CZ"/>
        </w:rPr>
        <w:t>právně závazný slib</w:t>
      </w:r>
      <w:r w:rsidRPr="00952643">
        <w:rPr>
          <w:rFonts w:cstheme="minorHAnsi"/>
          <w:lang w:eastAsia="cs-CZ"/>
        </w:rPr>
        <w:t xml:space="preserve">, který lze změnit či zrušit jen se souhlasem všech stran, anebo z jiných zákonných důvodů. V běžné praxi se však uzavírají smlouvy dlouhodobé nebo s opakovaným plněním, u kterých nelze vyloučit potřebu změny takové smlouvy. A právě nová směrnice EU pro zabezpečení ochrany osobních údajů může být důvodem pro změnu nebo doplnění stávajících smluv nebo ke zrušení smlouvy, nebudou-li akceptovány požadavky školy. Případné vypovězení smlouvy </w:t>
      </w:r>
      <w:r w:rsidRPr="00952643">
        <w:rPr>
          <w:rFonts w:cstheme="minorHAnsi"/>
        </w:rPr>
        <w:t xml:space="preserve">smlouvu je možné odůvodnit tak, že je v rozporu s nařízením nebo zákonem o zpracování osobních údajů. </w:t>
      </w:r>
    </w:p>
    <w:p w:rsidR="00952643" w:rsidRPr="00952643" w:rsidRDefault="00952643" w:rsidP="00952643">
      <w:pPr>
        <w:spacing w:after="0" w:line="240" w:lineRule="auto"/>
        <w:rPr>
          <w:rFonts w:cstheme="minorHAnsi"/>
          <w:lang w:eastAsia="cs-CZ"/>
        </w:rPr>
      </w:pPr>
    </w:p>
    <w:p w:rsidR="00952643" w:rsidRPr="00952643" w:rsidRDefault="00952643" w:rsidP="00952643">
      <w:pPr>
        <w:spacing w:after="0" w:line="240" w:lineRule="auto"/>
        <w:rPr>
          <w:rFonts w:cstheme="minorHAnsi"/>
          <w:u w:val="single"/>
          <w:lang w:eastAsia="cs-CZ"/>
        </w:rPr>
      </w:pPr>
      <w:r>
        <w:rPr>
          <w:rFonts w:cstheme="minorHAnsi"/>
          <w:u w:val="single"/>
          <w:lang w:eastAsia="cs-CZ"/>
        </w:rPr>
        <w:t xml:space="preserve">Vedoucí školní jídelny </w:t>
      </w:r>
      <w:r w:rsidRPr="00952643">
        <w:rPr>
          <w:rFonts w:cstheme="minorHAnsi"/>
          <w:u w:val="single"/>
          <w:lang w:eastAsia="cs-CZ"/>
        </w:rPr>
        <w:t>odpovídá za kontrolu údajů ve smlouvách:</w:t>
      </w:r>
    </w:p>
    <w:p w:rsidR="00952643" w:rsidRPr="00952643" w:rsidRDefault="00572D82" w:rsidP="00572D8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rozsahu, účel a doby zpracování osobních údajů,</w:t>
      </w:r>
    </w:p>
    <w:p w:rsidR="00952643" w:rsidRPr="00952643" w:rsidRDefault="00572D82" w:rsidP="00572D8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přístup třetích osob k osobním údajům v systémech,</w:t>
      </w:r>
    </w:p>
    <w:p w:rsidR="00952643" w:rsidRPr="00952643" w:rsidRDefault="00572D82" w:rsidP="00572D8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zda smlouva odpovídá záměru předcházet případnému nezákonnému zpracování osobních údajů (nápravná opatření, sankce),</w:t>
      </w:r>
    </w:p>
    <w:p w:rsidR="00952643" w:rsidRPr="00952643" w:rsidRDefault="00572D82" w:rsidP="00572D82">
      <w:pPr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zda dostatečně upravují právo školy omezit, případně zakázat poskytování předaných osobních údajů třetím osobám, </w:t>
      </w:r>
    </w:p>
    <w:p w:rsidR="00952643" w:rsidRPr="00952643" w:rsidRDefault="00572D82" w:rsidP="00572D82">
      <w:pPr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zda dostatečně zamezují zpracování osobních údajů jinak, než je v zájmu školy, potažmo v zájmu subjektu údajů (žáci, studenti, rodiče),</w:t>
      </w:r>
    </w:p>
    <w:p w:rsidR="00952643" w:rsidRPr="00952643" w:rsidRDefault="00572D82" w:rsidP="00572D82">
      <w:pPr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zda jsou dostatečně zabezpečena v kyberprostoru externí uložiště informací s osobními údaji (fotografie žáků, výstupy ze vzdělávání, platy zaměstnanců) zpracovávané externími poskytovateli</w:t>
      </w:r>
    </w:p>
    <w:p w:rsidR="00952643" w:rsidRPr="00952643" w:rsidRDefault="00572D82" w:rsidP="00572D8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cstheme="minorHAnsi"/>
        </w:rPr>
        <w:t xml:space="preserve"> zda je externí poskytovatel služby schopen dostát čl. 28 nařízení EU: 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1. povinnost zpracovávat osobní údaje pouze na základě doložených pokynů správce;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2. povinnost zajistit, aby se osoby oprávněné zpracovávat osobní údaje zavázaly k mlčenlivosti;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3. povinnost přijmout všechna opatření požadovaná podle čl. 32 nařízení;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4. povinnost dodržovat podmínky pro zapojení dalšího zpracovatele;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5. povinnost zohledňovat povahu zpracování a být správci nápomocen, jde-li o žádosti člověka, jehož osobní údaje jsou zpracovávány;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6. povinnost být správci nápomocen při zajišťování souladu s povinnostmi vyplývajícími z čl. 32 až 36 nařízení; </w:t>
      </w:r>
    </w:p>
    <w:p w:rsidR="00952643" w:rsidRP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7. povinnost v souladu s rozhodnutím správce osobní údaje vymazat nebo vrátit správci (a zničit kopie); </w:t>
      </w:r>
    </w:p>
    <w:p w:rsidR="00952643" w:rsidRDefault="00952643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r w:rsidRPr="00952643">
        <w:rPr>
          <w:rFonts w:cstheme="minorHAnsi"/>
        </w:rPr>
        <w:t xml:space="preserve">8. povinnost poskytovat správci informace potřebné k doložení toho, že byly splněny příslušné povinnosti a povinnost umožnit správci provádět audity či inspekce. </w:t>
      </w:r>
    </w:p>
    <w:p w:rsidR="009D33D7" w:rsidRPr="00952643" w:rsidRDefault="009D33D7" w:rsidP="00572D82">
      <w:pPr>
        <w:autoSpaceDE w:val="0"/>
        <w:autoSpaceDN w:val="0"/>
        <w:adjustRightInd w:val="0"/>
        <w:spacing w:after="0" w:line="240" w:lineRule="auto"/>
        <w:ind w:left="227" w:hanging="227"/>
        <w:rPr>
          <w:rFonts w:cstheme="minorHAnsi"/>
        </w:rPr>
      </w:pPr>
      <w:bookmarkStart w:id="0" w:name="_GoBack"/>
      <w:bookmarkEnd w:id="0"/>
    </w:p>
    <w:p w:rsidR="00952643" w:rsidRPr="00952643" w:rsidRDefault="00952643" w:rsidP="009526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52643" w:rsidRPr="00952643" w:rsidRDefault="00952643" w:rsidP="0095264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52643">
        <w:rPr>
          <w:rFonts w:cstheme="minorHAnsi"/>
          <w:u w:val="single"/>
        </w:rPr>
        <w:lastRenderedPageBreak/>
        <w:t>Doplnění smluv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  <w:r w:rsidRPr="00952643">
        <w:rPr>
          <w:rFonts w:cstheme="minorHAnsi"/>
        </w:rPr>
        <w:t>Na základě dohody je možné doplnit smlouvy o problematiku zabezpečení osobních údajů, například:</w:t>
      </w:r>
    </w:p>
    <w:p w:rsidR="00952643" w:rsidRPr="00952643" w:rsidRDefault="00952643" w:rsidP="00952643">
      <w:pPr>
        <w:spacing w:after="0" w:line="240" w:lineRule="auto"/>
        <w:rPr>
          <w:rFonts w:eastAsia="Calibri" w:cstheme="minorHAnsi"/>
          <w:i/>
          <w:iCs/>
        </w:rPr>
      </w:pPr>
      <w:r w:rsidRPr="00952643">
        <w:rPr>
          <w:rFonts w:eastAsia="Calibri" w:cstheme="minorHAnsi"/>
          <w:i/>
          <w:iCs/>
        </w:rPr>
        <w:t>„Firma … se zavazuje, že bude zachovávat mlčenlivost o všech skutečnostech, které získala v souvislosti s plněním této smlouvy a které mají zůstat v zájmu zaměstnavatele utajeny. Touto povinností mlčenlivosti je firma vázána nejenom po dobu trvání smlouvy, ale i po jejím skončení.“</w:t>
      </w:r>
    </w:p>
    <w:p w:rsidR="00952643" w:rsidRPr="00952643" w:rsidRDefault="00952643" w:rsidP="00952643">
      <w:pPr>
        <w:spacing w:after="0" w:line="240" w:lineRule="auto"/>
      </w:pPr>
    </w:p>
    <w:p w:rsidR="00952643" w:rsidRPr="00952643" w:rsidRDefault="00952643" w:rsidP="00952643">
      <w:pPr>
        <w:spacing w:after="0" w:line="240" w:lineRule="auto"/>
        <w:rPr>
          <w:rFonts w:cstheme="minorHAnsi"/>
          <w:color w:val="002060"/>
          <w:u w:val="single"/>
        </w:rPr>
      </w:pPr>
      <w:r w:rsidRPr="00952643">
        <w:rPr>
          <w:rFonts w:cstheme="minorHAnsi"/>
          <w:color w:val="002060"/>
          <w:u w:val="single"/>
        </w:rPr>
        <w:t>Účetní doklady</w:t>
      </w:r>
    </w:p>
    <w:p w:rsidR="00952643" w:rsidRPr="00952643" w:rsidRDefault="00952643" w:rsidP="00952643">
      <w:pPr>
        <w:spacing w:after="0" w:line="240" w:lineRule="auto"/>
        <w:rPr>
          <w:lang w:eastAsia="cs-CZ"/>
        </w:rPr>
      </w:pPr>
      <w:r w:rsidRPr="00952643">
        <w:rPr>
          <w:rFonts w:cstheme="minorHAnsi"/>
          <w:color w:val="222222"/>
          <w:lang w:eastAsia="cs-CZ"/>
        </w:rPr>
        <w:t>Účetní doklady (faktury) jsou dokumenty obsahujícím osobní údaje, na které se GDPR vztahuje. Ú</w:t>
      </w:r>
      <w:r w:rsidRPr="00952643">
        <w:rPr>
          <w:lang w:eastAsia="cs-CZ"/>
        </w:rPr>
        <w:t>četní jednotky jsou povinny uchovávat účetní záznamy pro účely vedení účetnictví po zákonem stanovenou dobu (zákon o účetnictví), jedná se tedy o zpracování osobních údajů.</w:t>
      </w:r>
    </w:p>
    <w:p w:rsidR="00952643" w:rsidRPr="00952643" w:rsidRDefault="00952643" w:rsidP="00952643">
      <w:pPr>
        <w:spacing w:after="0" w:line="240" w:lineRule="auto"/>
        <w:rPr>
          <w:szCs w:val="24"/>
          <w:lang w:eastAsia="cs-CZ"/>
        </w:rPr>
      </w:pPr>
      <w:r w:rsidRPr="00952643">
        <w:rPr>
          <w:szCs w:val="24"/>
          <w:lang w:eastAsia="cs-CZ"/>
        </w:rPr>
        <w:t>Pro zabezpečení těchto osobních údajů je nezbytné, aby:</w:t>
      </w:r>
    </w:p>
    <w:p w:rsidR="00952643" w:rsidRPr="00952643" w:rsidRDefault="00572D82" w:rsidP="00952643">
      <w:pPr>
        <w:spacing w:after="0" w:line="240" w:lineRule="auto"/>
      </w:pPr>
      <w:r>
        <w:sym w:font="Wingdings" w:char="F09E"/>
      </w:r>
      <w:r w:rsidR="00952643" w:rsidRPr="00952643">
        <w:t xml:space="preserve"> při práci s účetními doklady se postupovalo podle Směrnice pro oběh a přezkušování účetních dokladů,</w:t>
      </w:r>
    </w:p>
    <w:p w:rsidR="00952643" w:rsidRPr="00952643" w:rsidRDefault="00572D82" w:rsidP="00952643">
      <w:pPr>
        <w:spacing w:after="0" w:line="240" w:lineRule="auto"/>
        <w:rPr>
          <w:szCs w:val="24"/>
          <w:lang w:eastAsia="cs-CZ"/>
        </w:rPr>
      </w:pPr>
      <w:r>
        <w:sym w:font="Wingdings" w:char="F09E"/>
      </w:r>
      <w:r w:rsidR="00952643" w:rsidRPr="00952643">
        <w:rPr>
          <w:szCs w:val="24"/>
          <w:lang w:eastAsia="cs-CZ"/>
        </w:rPr>
        <w:t xml:space="preserve"> doklady byly řádně uloženy ve spisovně školy, jejich vyzvedávání se řídilo Spisovým a skartačním řádem,</w:t>
      </w:r>
    </w:p>
    <w:p w:rsidR="00952643" w:rsidRPr="00952643" w:rsidRDefault="00572D82" w:rsidP="00952643">
      <w:pPr>
        <w:spacing w:after="0" w:line="240" w:lineRule="auto"/>
        <w:rPr>
          <w:lang w:eastAsia="cs-CZ"/>
        </w:rPr>
      </w:pPr>
      <w:r>
        <w:sym w:font="Wingdings" w:char="F09E"/>
      </w:r>
      <w:r w:rsidR="00952643" w:rsidRPr="00952643">
        <w:rPr>
          <w:lang w:eastAsia="cs-CZ"/>
        </w:rPr>
        <w:t xml:space="preserve"> doklady byly řádně uloženy v archivu školy a po zákonné lhůtě skartovány dle Spisového a skartačního řádu.</w:t>
      </w:r>
    </w:p>
    <w:p w:rsidR="00952643" w:rsidRPr="00952643" w:rsidRDefault="00952643" w:rsidP="009526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952643" w:rsidRPr="00952643" w:rsidRDefault="00952643" w:rsidP="00952643">
      <w:pPr>
        <w:spacing w:after="0" w:line="240" w:lineRule="auto"/>
        <w:rPr>
          <w:rFonts w:eastAsia="Times New Roman" w:cstheme="minorHAnsi"/>
          <w:bCs/>
          <w:color w:val="000000"/>
          <w:u w:val="single"/>
          <w:lang w:eastAsia="cs-CZ"/>
        </w:rPr>
      </w:pPr>
      <w:r w:rsidRPr="00952643">
        <w:rPr>
          <w:rFonts w:eastAsia="Times New Roman" w:cstheme="minorHAnsi"/>
          <w:bCs/>
          <w:color w:val="000000"/>
          <w:u w:val="single"/>
          <w:lang w:eastAsia="cs-CZ"/>
        </w:rPr>
        <w:t>Příklady účetních dokladů a jejich archivace</w:t>
      </w:r>
    </w:p>
    <w:p w:rsidR="00952643" w:rsidRPr="00952643" w:rsidRDefault="00572D82" w:rsidP="00572D82">
      <w:pPr>
        <w:spacing w:after="0" w:line="240" w:lineRule="auto"/>
        <w:ind w:left="142" w:hanging="142"/>
        <w:rPr>
          <w:rFonts w:eastAsia="Times New Roman" w:cstheme="minorHAnsi"/>
          <w:color w:val="000000"/>
          <w:lang w:eastAsia="cs-CZ"/>
        </w:rPr>
      </w:pPr>
      <w:r>
        <w:sym w:font="Wingdings" w:char="F09E"/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 xml:space="preserve"> účetní závěrky a výroční zprávy po dobu</w:t>
      </w:r>
      <w:r w:rsidR="00952643" w:rsidRPr="00952643">
        <w:rPr>
          <w:rFonts w:eastAsia="Times New Roman" w:cstheme="minorHAnsi"/>
          <w:color w:val="000000"/>
          <w:lang w:eastAsia="cs-CZ"/>
        </w:rPr>
        <w:t> </w:t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>10 let</w:t>
      </w:r>
      <w:r w:rsidR="00952643" w:rsidRPr="00952643">
        <w:rPr>
          <w:rFonts w:eastAsia="Times New Roman" w:cstheme="minorHAnsi"/>
          <w:color w:val="000000"/>
          <w:lang w:eastAsia="cs-CZ"/>
        </w:rPr>
        <w:t> počínajících koncem účetního období, kterého se týkají,</w:t>
      </w:r>
    </w:p>
    <w:p w:rsidR="00952643" w:rsidRPr="00952643" w:rsidRDefault="00572D82" w:rsidP="00572D82">
      <w:pPr>
        <w:spacing w:after="0" w:line="240" w:lineRule="auto"/>
        <w:ind w:left="142" w:hanging="142"/>
        <w:rPr>
          <w:rFonts w:eastAsia="Times New Roman" w:cstheme="minorHAnsi"/>
          <w:color w:val="000000"/>
          <w:lang w:eastAsia="cs-CZ"/>
        </w:rPr>
      </w:pPr>
      <w:r>
        <w:sym w:font="Wingdings" w:char="F09E"/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 xml:space="preserve"> účetní doklady, účetní knihy, odpisové plány, inventurní soupisy, účtový rozvrh, přehledy po dobu</w:t>
      </w:r>
      <w:r w:rsidR="00952643" w:rsidRPr="00952643">
        <w:rPr>
          <w:rFonts w:eastAsia="Times New Roman" w:cstheme="minorHAnsi"/>
          <w:color w:val="000000"/>
          <w:lang w:eastAsia="cs-CZ"/>
        </w:rPr>
        <w:t> </w:t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>5 let</w:t>
      </w:r>
      <w:r w:rsidR="00952643" w:rsidRPr="00952643">
        <w:rPr>
          <w:rFonts w:eastAsia="Times New Roman" w:cstheme="minorHAnsi"/>
          <w:color w:val="000000"/>
          <w:lang w:eastAsia="cs-CZ"/>
        </w:rPr>
        <w:t> počínajících koncem účetního období, kterého se týkají,</w:t>
      </w:r>
    </w:p>
    <w:p w:rsidR="00952643" w:rsidRPr="00952643" w:rsidRDefault="00572D82" w:rsidP="00572D82">
      <w:pPr>
        <w:spacing w:after="0" w:line="240" w:lineRule="auto"/>
        <w:ind w:left="142" w:hanging="142"/>
        <w:rPr>
          <w:rFonts w:cstheme="minorHAnsi"/>
        </w:rPr>
      </w:pPr>
      <w:r>
        <w:sym w:font="Wingdings" w:char="F09E"/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 xml:space="preserve"> účetní záznamy</w:t>
      </w:r>
      <w:r w:rsidR="00952643" w:rsidRPr="00952643">
        <w:rPr>
          <w:rFonts w:eastAsia="Times New Roman" w:cstheme="minorHAnsi"/>
          <w:color w:val="000000"/>
          <w:lang w:eastAsia="cs-CZ"/>
        </w:rPr>
        <w:t>, kterými účetní jednotky </w:t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>dokládají vedení účetnictví</w:t>
      </w:r>
      <w:r w:rsidR="00952643" w:rsidRPr="00952643">
        <w:rPr>
          <w:rFonts w:eastAsia="Times New Roman" w:cstheme="minorHAnsi"/>
          <w:color w:val="000000"/>
          <w:lang w:eastAsia="cs-CZ"/>
        </w:rPr>
        <w:t>, </w:t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>po dobu</w:t>
      </w:r>
      <w:r w:rsidR="00952643" w:rsidRPr="00952643">
        <w:rPr>
          <w:rFonts w:eastAsia="Times New Roman" w:cstheme="minorHAnsi"/>
          <w:color w:val="000000"/>
          <w:lang w:eastAsia="cs-CZ"/>
        </w:rPr>
        <w:t> </w:t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>5 let</w:t>
      </w:r>
      <w:r w:rsidR="00952643" w:rsidRPr="00952643">
        <w:rPr>
          <w:rFonts w:eastAsia="Times New Roman" w:cstheme="minorHAnsi"/>
          <w:color w:val="000000"/>
          <w:lang w:eastAsia="cs-CZ"/>
        </w:rPr>
        <w:t> počínajících koncem účetního období, kterého se týkají. Účetní jednotka může jako účetní záznamy použít zejména </w:t>
      </w:r>
      <w:r w:rsidR="00952643" w:rsidRPr="00952643">
        <w:rPr>
          <w:rFonts w:eastAsia="Times New Roman" w:cstheme="minorHAnsi"/>
          <w:bCs/>
          <w:color w:val="000000"/>
          <w:lang w:eastAsia="cs-CZ"/>
        </w:rPr>
        <w:t>mzdové listy, daňové doklady nebo jinou dokumentaci</w:t>
      </w:r>
      <w:r w:rsidR="00952643" w:rsidRPr="00952643">
        <w:rPr>
          <w:rFonts w:eastAsia="Times New Roman" w:cstheme="minorHAnsi"/>
          <w:color w:val="000000"/>
          <w:lang w:eastAsia="cs-CZ"/>
        </w:rPr>
        <w:t xml:space="preserve"> vyplývající ze zvláštních právních předpisů.  </w:t>
      </w:r>
    </w:p>
    <w:p w:rsidR="00952643" w:rsidRPr="00952643" w:rsidRDefault="00952643" w:rsidP="00952643">
      <w:pPr>
        <w:spacing w:after="0" w:line="240" w:lineRule="auto"/>
        <w:rPr>
          <w:rFonts w:cstheme="minorHAnsi"/>
        </w:rPr>
      </w:pPr>
    </w:p>
    <w:p w:rsidR="00952643" w:rsidRDefault="00952643" w:rsidP="00952643">
      <w:pPr>
        <w:pStyle w:val="Bezmezer"/>
      </w:pPr>
    </w:p>
    <w:p w:rsidR="009D33D7" w:rsidRDefault="009D33D7" w:rsidP="00952643">
      <w:pPr>
        <w:pStyle w:val="Bezmezer"/>
      </w:pPr>
    </w:p>
    <w:p w:rsidR="009D33D7" w:rsidRDefault="009D33D7" w:rsidP="00952643">
      <w:pPr>
        <w:pStyle w:val="Bezmezer"/>
      </w:pPr>
    </w:p>
    <w:p w:rsidR="009D33D7" w:rsidRDefault="009D33D7" w:rsidP="00952643">
      <w:pPr>
        <w:pStyle w:val="Bezmezer"/>
      </w:pPr>
    </w:p>
    <w:p w:rsidR="009D33D7" w:rsidRPr="009D33D7" w:rsidRDefault="009D33D7" w:rsidP="00952643">
      <w:pPr>
        <w:pStyle w:val="Bezmezer"/>
        <w:rPr>
          <w:rFonts w:cstheme="minorHAnsi"/>
        </w:rPr>
      </w:pPr>
    </w:p>
    <w:p w:rsidR="009D33D7" w:rsidRPr="009D33D7" w:rsidRDefault="009D33D7" w:rsidP="009D33D7">
      <w:pPr>
        <w:jc w:val="both"/>
        <w:rPr>
          <w:rFonts w:cstheme="minorHAnsi"/>
        </w:rPr>
      </w:pPr>
      <w:r w:rsidRPr="009D33D7">
        <w:rPr>
          <w:rFonts w:cstheme="minorHAnsi"/>
        </w:rPr>
        <w:t xml:space="preserve">V Měcholupech </w:t>
      </w:r>
      <w:proofErr w:type="gramStart"/>
      <w:r w:rsidRPr="009D33D7">
        <w:rPr>
          <w:rFonts w:cstheme="minorHAnsi"/>
        </w:rPr>
        <w:t>1.5.2018</w:t>
      </w:r>
      <w:proofErr w:type="gramEnd"/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proofErr w:type="spellStart"/>
      <w:r w:rsidRPr="009D33D7">
        <w:rPr>
          <w:rFonts w:cstheme="minorHAnsi"/>
        </w:rPr>
        <w:t>Ing.Bc.Zdeněk</w:t>
      </w:r>
      <w:proofErr w:type="spellEnd"/>
      <w:r w:rsidRPr="009D33D7">
        <w:rPr>
          <w:rFonts w:cstheme="minorHAnsi"/>
        </w:rPr>
        <w:t xml:space="preserve"> </w:t>
      </w:r>
      <w:proofErr w:type="spellStart"/>
      <w:r w:rsidRPr="009D33D7">
        <w:rPr>
          <w:rFonts w:cstheme="minorHAnsi"/>
        </w:rPr>
        <w:t>Dosedla,Ph.D</w:t>
      </w:r>
      <w:proofErr w:type="spellEnd"/>
      <w:r w:rsidRPr="009D33D7">
        <w:rPr>
          <w:rFonts w:cstheme="minorHAnsi"/>
        </w:rPr>
        <w:t>.</w:t>
      </w:r>
    </w:p>
    <w:p w:rsidR="009D33D7" w:rsidRPr="009D33D7" w:rsidRDefault="009D33D7" w:rsidP="009D33D7">
      <w:pPr>
        <w:jc w:val="both"/>
        <w:rPr>
          <w:rFonts w:cstheme="minorHAnsi"/>
        </w:rPr>
      </w:pP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</w:r>
      <w:r w:rsidRPr="009D33D7">
        <w:rPr>
          <w:rFonts w:cstheme="minorHAnsi"/>
        </w:rPr>
        <w:tab/>
        <w:t>ředitel školy</w:t>
      </w:r>
    </w:p>
    <w:p w:rsidR="009D33D7" w:rsidRDefault="009D33D7" w:rsidP="00952643">
      <w:pPr>
        <w:pStyle w:val="Bezmezer"/>
      </w:pPr>
    </w:p>
    <w:sectPr w:rsidR="009D33D7" w:rsidSect="00952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3"/>
    <w:rsid w:val="00013C71"/>
    <w:rsid w:val="00572D82"/>
    <w:rsid w:val="00952643"/>
    <w:rsid w:val="009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CA3E-AAEB-4960-A857-CF17553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Zdeněk Dosedla</cp:lastModifiedBy>
  <cp:revision>2</cp:revision>
  <dcterms:created xsi:type="dcterms:W3CDTF">2018-03-23T08:03:00Z</dcterms:created>
  <dcterms:modified xsi:type="dcterms:W3CDTF">2018-03-23T08:03:00Z</dcterms:modified>
</cp:coreProperties>
</file>