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4CB" w14:textId="77777777" w:rsidR="005B7ECE" w:rsidRPr="00003626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</w:t>
      </w:r>
      <w:proofErr w:type="gramEnd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 xml:space="preserve">  program</w:t>
      </w:r>
    </w:p>
    <w:p w14:paraId="042AC264" w14:textId="4DD84BC3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201</w:t>
      </w:r>
      <w:r w:rsidR="00785E3C">
        <w:rPr>
          <w:rFonts w:ascii="Times New Roman" w:eastAsia="Times New Roman" w:hAnsi="Times New Roman"/>
          <w:sz w:val="35"/>
          <w:szCs w:val="35"/>
          <w:lang w:eastAsia="cs-CZ"/>
        </w:rPr>
        <w:t>8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/201</w:t>
      </w:r>
      <w:r w:rsidR="00785E3C">
        <w:rPr>
          <w:rFonts w:ascii="Times New Roman" w:eastAsia="Times New Roman" w:hAnsi="Times New Roman"/>
          <w:sz w:val="35"/>
          <w:szCs w:val="35"/>
          <w:lang w:eastAsia="cs-CZ"/>
        </w:rPr>
        <w:t>9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 </w:t>
      </w:r>
    </w:p>
    <w:p w14:paraId="7770265B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6E92C8E" w14:textId="23890509" w:rsidR="00C61B35" w:rsidRPr="00003626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201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8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- 201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proofErr w:type="gramEnd"/>
    </w:p>
    <w:p w14:paraId="0A5EEF7F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003626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 w:rsidRPr="00003626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Pr="00003626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kyberšikana.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</w:t>
      </w:r>
      <w:proofErr w:type="gramStart"/>
      <w:r w:rsidRPr="00003626">
        <w:rPr>
          <w:rFonts w:eastAsia="Times New Roman"/>
          <w:color w:val="auto"/>
          <w:sz w:val="27"/>
          <w:szCs w:val="27"/>
        </w:rPr>
        <w:t>chování - agrese</w:t>
      </w:r>
      <w:proofErr w:type="gramEnd"/>
      <w:r w:rsidRPr="00003626">
        <w:rPr>
          <w:rFonts w:eastAsia="Times New Roman"/>
          <w:color w:val="auto"/>
          <w:sz w:val="27"/>
          <w:szCs w:val="27"/>
        </w:rPr>
        <w:t xml:space="preserve">, šikana, kyberšikana a další rizikové formy komunikace prostřednictvím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multimedií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</w:t>
      </w:r>
      <w:proofErr w:type="gramStart"/>
      <w:r w:rsidRPr="00003626">
        <w:rPr>
          <w:rFonts w:eastAsia="Times New Roman"/>
          <w:color w:val="auto"/>
          <w:sz w:val="27"/>
          <w:szCs w:val="27"/>
        </w:rPr>
        <w:t>chování - užívání</w:t>
      </w:r>
      <w:proofErr w:type="gramEnd"/>
      <w:r w:rsidRPr="00003626">
        <w:rPr>
          <w:rFonts w:eastAsia="Times New Roman"/>
          <w:color w:val="auto"/>
          <w:sz w:val="27"/>
          <w:szCs w:val="27"/>
        </w:rPr>
        <w:t xml:space="preserve"> všech návykových látek,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netolismus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gambling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2D50E436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 xml:space="preserve">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NE!,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17D104CA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žákovský </w:t>
      </w:r>
      <w:proofErr w:type="spellStart"/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eko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parlament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77777777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třídnické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jejichž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 – vedení školy podporuje další vzdělávání pedagogů – v současnosti jsme se zaměřili na semináře týkající se vedení třídnických hodin, práci s třídním kolektivem a prevenci na 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metodika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</w:t>
      </w:r>
      <w:proofErr w:type="spellStart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pedagogicko</w:t>
      </w:r>
      <w:proofErr w:type="spellEnd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5B64B1AD" w14:textId="3EFBE54E" w:rsidR="00DE73AA" w:rsidRPr="0001477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6501C359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Za realizaci Minimálního preventivního programu zodpovídá školní metodi</w:t>
      </w:r>
      <w:r w:rsidR="00014777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prevence, který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</w:t>
      </w:r>
      <w:proofErr w:type="gramStart"/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>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</w:t>
      </w:r>
      <w:proofErr w:type="gramEnd"/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Měcholupských list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ů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="00BF7D3C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metodik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výchovným poradcem,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</w:t>
      </w:r>
      <w:proofErr w:type="gramStart"/>
      <w:r w:rsidRPr="00003626">
        <w:rPr>
          <w:sz w:val="27"/>
          <w:szCs w:val="27"/>
        </w:rPr>
        <w:t>ní</w:t>
      </w:r>
      <w:proofErr w:type="gramEnd"/>
      <w:r w:rsidRPr="00003626">
        <w:rPr>
          <w:sz w:val="27"/>
          <w:szCs w:val="27"/>
        </w:rPr>
        <w:t>, 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</w:p>
    <w:p w14:paraId="10F0F389" w14:textId="77777777" w:rsidR="00DA4F43" w:rsidRPr="00003626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77777777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Má na starosti třídní učitel, záleží do značné míry na jeho osobnosti, jak bude pracovat, do kterých předmětů zařadí níže vyjmenované tematické okruhy. Stačí, když si bude uvědomovat svůj podíl na 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syndrom </w:t>
      </w:r>
      <w:proofErr w:type="gramStart"/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CAN - syndrom</w:t>
      </w:r>
      <w:proofErr w:type="gramEnd"/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poznatky o zákl. 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 - informovat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7777777" w:rsidR="00E4599B" w:rsidRPr="00003626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podpora abstinence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návykových - látek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  <w:proofErr w:type="spellEnd"/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Pr="00003626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  <w:proofErr w:type="spellEnd"/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77777777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Hlavní podíl na dalším rozvíjení znalostí a dovedností související s rizikovým chováním žáků spočívá v samostudiu všech učitelů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školy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77777777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tab/>
      </w:r>
      <w:r w:rsidR="00D622BE" w:rsidRPr="00003626">
        <w:rPr>
          <w:sz w:val="27"/>
          <w:szCs w:val="27"/>
        </w:rPr>
        <w:t xml:space="preserve">Školní metodik prevence je plně kvalifikovaný, absolvoval dvouleté akreditované specializační studium Poradenské služby v ZŠ a SŠ na </w:t>
      </w:r>
      <w:proofErr w:type="spellStart"/>
      <w:r w:rsidR="00D622BE" w:rsidRPr="00003626">
        <w:rPr>
          <w:sz w:val="27"/>
          <w:szCs w:val="27"/>
        </w:rPr>
        <w:t>PedF</w:t>
      </w:r>
      <w:proofErr w:type="spellEnd"/>
      <w:r w:rsidR="00D622BE" w:rsidRPr="00003626">
        <w:rPr>
          <w:sz w:val="27"/>
          <w:szCs w:val="27"/>
        </w:rPr>
        <w:t xml:space="preserve">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77777777" w:rsidR="003C2630" w:rsidRPr="00003626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metodik prevence, výchovný poradce,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77777777" w:rsidR="00E750C3" w:rsidRPr="00003626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>Aktivity, které se opakují: např. 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 xml:space="preserve">, </w:t>
      </w:r>
      <w:proofErr w:type="gramStart"/>
      <w:r w:rsidR="00D622BE" w:rsidRPr="00003626">
        <w:rPr>
          <w:bCs/>
          <w:sz w:val="27"/>
          <w:szCs w:val="27"/>
        </w:rPr>
        <w:t>Akademie,</w:t>
      </w:r>
      <w:proofErr w:type="gramEnd"/>
      <w:r w:rsidRPr="00003626">
        <w:rPr>
          <w:bCs/>
          <w:sz w:val="27"/>
          <w:szCs w:val="27"/>
        </w:rPr>
        <w:t xml:space="preserve"> </w:t>
      </w:r>
      <w:r w:rsidR="00E750C3" w:rsidRPr="00003626">
        <w:rPr>
          <w:bCs/>
          <w:sz w:val="27"/>
          <w:szCs w:val="27"/>
        </w:rPr>
        <w:t xml:space="preserve">atd.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4477E20C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1DBB8D25" w14:textId="530E707B" w:rsidR="005B7ECE" w:rsidRPr="0001477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Ajax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program policie</w:t>
      </w:r>
    </w:p>
    <w:p w14:paraId="6BFDF3BA" w14:textId="6A018997" w:rsidR="00014777" w:rsidRPr="00086E8F" w:rsidRDefault="00014777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86E8F">
        <w:rPr>
          <w:rFonts w:ascii="Times New Roman" w:eastAsia="Times New Roman" w:hAnsi="Times New Roman"/>
          <w:bCs/>
          <w:sz w:val="27"/>
          <w:szCs w:val="27"/>
          <w:lang w:eastAsia="cs-CZ"/>
        </w:rPr>
        <w:t>Výchovně preventivní pobyt v přírodě 2. třída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5E26B34D" w14:textId="54F82BB0" w:rsidR="000D702B" w:rsidRPr="00003626" w:rsidRDefault="005B7ECE" w:rsidP="007F12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představení dle </w:t>
      </w:r>
      <w:proofErr w:type="gramStart"/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nabídky: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gramEnd"/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I.st.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Pohádky pro Vás  Divadlo Pohádka Praha   </w:t>
      </w:r>
    </w:p>
    <w:p w14:paraId="2E4D4049" w14:textId="3DFC9B17" w:rsidR="007F120B" w:rsidRPr="00003626" w:rsidRDefault="007F120B" w:rsidP="007F120B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sz w:val="23"/>
          <w:szCs w:val="23"/>
        </w:rPr>
        <w:t xml:space="preserve">                      -  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Potkali se u Kolína</w:t>
      </w:r>
    </w:p>
    <w:p w14:paraId="0DB96951" w14:textId="48958849" w:rsidR="002D50CB" w:rsidRPr="00003626" w:rsidRDefault="0005395F" w:rsidP="007F120B">
      <w:pPr>
        <w:spacing w:after="0" w:line="240" w:lineRule="auto"/>
        <w:ind w:left="72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II. st.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-</w:t>
      </w:r>
      <w:r w:rsidRPr="0000362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</w:t>
      </w:r>
      <w:proofErr w:type="gramEnd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Ne)bezpečná (</w:t>
      </w:r>
      <w:proofErr w:type="spellStart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</w:t>
      </w:r>
      <w:proofErr w:type="spellEnd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proofErr w:type="spellStart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medie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 MEDIÁLNÍ VÝCHOVA PRO DĚTI A MLÁDEŽ V KYBERKOSTCE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  <w:proofErr w:type="spellEnd"/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  <w:proofErr w:type="spellEnd"/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003626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03626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03626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003626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65E48B9B" w:rsidR="003C2630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0BCCA416" w14:textId="6E00B356" w:rsidR="00086E8F" w:rsidRPr="00003626" w:rsidRDefault="00086E8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>
        <w:rPr>
          <w:rFonts w:ascii="Times New Roman" w:eastAsia="Times New Roman" w:hAnsi="Times New Roman"/>
          <w:sz w:val="27"/>
          <w:szCs w:val="27"/>
          <w:lang w:eastAsia="cs-CZ"/>
        </w:rPr>
        <w:t>Menu pro změnu</w:t>
      </w: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 – záškoláctví, šikana, kyberšikana,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V opakovaných případech záškoláctví spolupracujeme s OSPOD a dáváme podnět přestupkové komisi.</w:t>
      </w:r>
      <w:bookmarkStart w:id="0" w:name="_GoBack"/>
      <w:bookmarkEnd w:id="0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C2DBCC8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1B006D1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90268AE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C768C4A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Sociální odbor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Kurátorky pro děti a mládež,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o.s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Pr="00003626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003626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4F710966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Harmonogram programu v roce </w:t>
      </w:r>
      <w:proofErr w:type="gramStart"/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201</w:t>
      </w:r>
      <w:r w:rsidR="00014777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8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984AF8"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201</w:t>
      </w:r>
      <w:r w:rsidR="00014777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9</w:t>
      </w:r>
      <w:proofErr w:type="gramEnd"/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listopad  -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upřesněny). </w:t>
      </w:r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Ankety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7777777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Šikana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</w:t>
      </w:r>
      <w:proofErr w:type="gramEnd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je v jednání s Mě  Policií Žatec termín 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říjen)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77777777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Pr="00003626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8910080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D36DE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4BED2F7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7B0325C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D88CB2A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3E6D8A3" w14:textId="422A18A0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3FF8212" w14:textId="2CBF94A9" w:rsidR="003C34C2" w:rsidRPr="00003626" w:rsidRDefault="003C34C2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Bernd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ída. Každý příběh je v 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jaký problém sleduje (agresivita, osamělost,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solidarita,důvěra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Antier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Edwige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Martínek Zdeněk, „Agresivita a kriminalita školní mládeže“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Jan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uwe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</w:t>
      </w:r>
      <w:proofErr w:type="gramStart"/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Křivohlavý Jaro,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Pozitivní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Soňa,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Teambuilding</w:t>
      </w:r>
      <w:proofErr w:type="spellEnd"/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hry,..</w:t>
      </w:r>
      <w:proofErr w:type="gramEnd"/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Ján a kol.,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Deprese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BCBB675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Literatura pro oblast školního šikanování</w:t>
      </w:r>
    </w:p>
    <w:p w14:paraId="2CDC80AA" w14:textId="77777777" w:rsidR="00FB5887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ab/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Kavalír, A.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Kyberšikana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Dragon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press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(2013). Výcvik odborníků v léčbě šikany. Praha: Pražská vysoká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 psychosociálních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M.(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2012).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Phillipová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L., Janošová, P.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(Ed.) (2004) Školní šikanování. Sborník z první celostátní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v Olomouci 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PdF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UP 30.3. 2004.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Kolektiv autorů (2012). Elektronická šikana a jak jí řešit. (Metodický materiál.)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Praha:  NCBI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Kopecký, K.,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Kyberšikana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Parry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J.,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Carrington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Philippová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L.,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Janošová,P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Rogers,V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(2011). Kyberšikana.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Říčan, P., Janošová, P. (2010). Jak na šikanu. Praha: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479C3B0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4F9171DB" w14:textId="77777777" w:rsidR="003455AF" w:rsidRPr="00003626" w:rsidRDefault="003455AF" w:rsidP="003455AF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 56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alebo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doberanie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šikanovaniu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In:   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( 2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3-7.</w:t>
      </w:r>
    </w:p>
    <w:p w14:paraId="639C3A2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M. a kol. (2012). Návrh doporučené struktury MPP prevence rizikového chování pro ZŠ. Praha: Klinika adiktologie 1.LF KU</w:t>
      </w: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FA90301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 poradenská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32331EBC" w:rsidR="007F6AC4" w:rsidRPr="00003626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E2EF234" w14:textId="77777777" w:rsidR="00084DCF" w:rsidRPr="00003626" w:rsidRDefault="00084DC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1F4E67CF" w14:textId="77777777" w:rsidR="007D37BF" w:rsidRPr="00003626" w:rsidRDefault="007D37BF" w:rsidP="009A104B">
      <w:pPr>
        <w:spacing w:before="100" w:beforeAutospacing="1"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1DF14445" w14:textId="77777777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>ve školách a školských zařízeních č.j.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003626" w:rsidRDefault="00086E8F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086E8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Strategie prevence </w:t>
        </w:r>
        <w:proofErr w:type="spellStart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RCh</w:t>
        </w:r>
        <w:proofErr w:type="spellEnd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 2013-2018923.46 KB</w:t>
        </w:r>
      </w:hyperlink>
    </w:p>
    <w:p w14:paraId="56E7A511" w14:textId="29D06044" w:rsidR="00C2258A" w:rsidRPr="00003626" w:rsidRDefault="00086E8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086E8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086E8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lastRenderedPageBreak/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11B36E27" w14:textId="013E30B1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49DE9D57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577A7C15" w14:textId="77777777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metodik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</w:t>
      </w:r>
      <w:proofErr w:type="gramEnd"/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ěhem třídních schůzek, po </w:t>
      </w:r>
      <w:proofErr w:type="spellStart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Pr="00003626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Klára </w:t>
      </w:r>
      <w:proofErr w:type="spellStart"/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Cíglová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 </w:t>
      </w:r>
      <w:proofErr w:type="spellStart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nástěnka - první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3767A4DB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E2C494A" w14:textId="77777777" w:rsidR="00572AE0" w:rsidRPr="00003626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4046CA8" w14:textId="4F91BD24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F17D58" w:rsidRPr="00003626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201</w:t>
      </w:r>
      <w:r w:rsidR="00C613D1">
        <w:rPr>
          <w:rFonts w:ascii="Times New Roman" w:eastAsia="Times New Roman" w:hAnsi="Times New Roman"/>
          <w:sz w:val="27"/>
          <w:szCs w:val="27"/>
          <w:lang w:eastAsia="cs-CZ"/>
        </w:rPr>
        <w:t>8</w:t>
      </w:r>
    </w:p>
    <w:p w14:paraId="58C93B87" w14:textId="77777777" w:rsidR="00572AE0" w:rsidRPr="00003626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77777777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Metodik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prevence:   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Ředitel školy:</w:t>
      </w:r>
    </w:p>
    <w:p w14:paraId="758E4941" w14:textId="7274D53F" w:rsidR="004F6D7B" w:rsidRPr="004F6D7B" w:rsidRDefault="006763F5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</w:t>
      </w:r>
      <w:r w:rsid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</w:t>
      </w:r>
      <w:proofErr w:type="spellStart"/>
      <w:proofErr w:type="gramStart"/>
      <w:r w:rsidR="004F6D7B" w:rsidRPr="004F6D7B">
        <w:rPr>
          <w:rFonts w:ascii="Times New Roman" w:eastAsia="Times New Roman" w:hAnsi="Times New Roman"/>
          <w:sz w:val="27"/>
          <w:szCs w:val="27"/>
          <w:lang w:eastAsia="cs-CZ"/>
        </w:rPr>
        <w:t>Ing.Bc.Zdeněk</w:t>
      </w:r>
      <w:proofErr w:type="spellEnd"/>
      <w:proofErr w:type="gramEnd"/>
      <w:r w:rsidR="004F6D7B" w:rsidRP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Dosedla,</w:t>
      </w:r>
    </w:p>
    <w:p w14:paraId="2AA527AE" w14:textId="21B9146D" w:rsidR="001D0238" w:rsidRDefault="004F6D7B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                           </w:t>
      </w:r>
      <w:proofErr w:type="gramStart"/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>Ph.D.,</w:t>
      </w:r>
      <w:proofErr w:type="spellStart"/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>Ing.Paed</w:t>
      </w:r>
      <w:proofErr w:type="gramEnd"/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>.IGIP</w:t>
      </w:r>
      <w:proofErr w:type="spellEnd"/>
    </w:p>
    <w:p w14:paraId="54514B0D" w14:textId="4DB90711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E50ECBE" w14:textId="11971F80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DA0293F" w14:textId="77777777" w:rsidR="00F720CA" w:rsidRPr="00003626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sectPr w:rsidR="00F720CA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0A469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24"/>
  </w:num>
  <w:num w:numId="6">
    <w:abstractNumId w:val="33"/>
  </w:num>
  <w:num w:numId="7">
    <w:abstractNumId w:val="25"/>
  </w:num>
  <w:num w:numId="8">
    <w:abstractNumId w:val="17"/>
  </w:num>
  <w:num w:numId="9">
    <w:abstractNumId w:val="12"/>
  </w:num>
  <w:num w:numId="10">
    <w:abstractNumId w:val="34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20"/>
  </w:num>
  <w:num w:numId="16">
    <w:abstractNumId w:val="7"/>
  </w:num>
  <w:num w:numId="17">
    <w:abstractNumId w:val="21"/>
  </w:num>
  <w:num w:numId="18">
    <w:abstractNumId w:val="9"/>
  </w:num>
  <w:num w:numId="19">
    <w:abstractNumId w:val="4"/>
  </w:num>
  <w:num w:numId="20">
    <w:abstractNumId w:val="31"/>
  </w:num>
  <w:num w:numId="21">
    <w:abstractNumId w:val="13"/>
  </w:num>
  <w:num w:numId="22">
    <w:abstractNumId w:val="30"/>
  </w:num>
  <w:num w:numId="23">
    <w:abstractNumId w:val="27"/>
  </w:num>
  <w:num w:numId="24">
    <w:abstractNumId w:val="8"/>
  </w:num>
  <w:num w:numId="25">
    <w:abstractNumId w:val="1"/>
  </w:num>
  <w:num w:numId="26">
    <w:abstractNumId w:val="28"/>
  </w:num>
  <w:num w:numId="27">
    <w:abstractNumId w:val="5"/>
  </w:num>
  <w:num w:numId="28">
    <w:abstractNumId w:val="10"/>
  </w:num>
  <w:num w:numId="29">
    <w:abstractNumId w:val="32"/>
  </w:num>
  <w:num w:numId="30">
    <w:abstractNumId w:val="11"/>
  </w:num>
  <w:num w:numId="31">
    <w:abstractNumId w:val="22"/>
  </w:num>
  <w:num w:numId="32">
    <w:abstractNumId w:val="18"/>
  </w:num>
  <w:num w:numId="33">
    <w:abstractNumId w:val="3"/>
  </w:num>
  <w:num w:numId="34">
    <w:abstractNumId w:val="23"/>
  </w:num>
  <w:num w:numId="3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5395F"/>
    <w:rsid w:val="0007443D"/>
    <w:rsid w:val="000767C8"/>
    <w:rsid w:val="0008308B"/>
    <w:rsid w:val="00084DCF"/>
    <w:rsid w:val="00085525"/>
    <w:rsid w:val="00086E8F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A6E1E"/>
    <w:rsid w:val="002B7A46"/>
    <w:rsid w:val="002C393F"/>
    <w:rsid w:val="002D50CB"/>
    <w:rsid w:val="002F1967"/>
    <w:rsid w:val="00306689"/>
    <w:rsid w:val="00327F29"/>
    <w:rsid w:val="003455AF"/>
    <w:rsid w:val="00366CF6"/>
    <w:rsid w:val="003778E3"/>
    <w:rsid w:val="003901FB"/>
    <w:rsid w:val="00391F0F"/>
    <w:rsid w:val="00394EB6"/>
    <w:rsid w:val="003978A0"/>
    <w:rsid w:val="003B0160"/>
    <w:rsid w:val="003B5C33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6008AA"/>
    <w:rsid w:val="00633B2D"/>
    <w:rsid w:val="00655241"/>
    <w:rsid w:val="00666200"/>
    <w:rsid w:val="006763F5"/>
    <w:rsid w:val="006911C6"/>
    <w:rsid w:val="006A0CD5"/>
    <w:rsid w:val="006B2337"/>
    <w:rsid w:val="006B5FFB"/>
    <w:rsid w:val="006C14B5"/>
    <w:rsid w:val="006E33D9"/>
    <w:rsid w:val="006F5704"/>
    <w:rsid w:val="006F6294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85E3C"/>
    <w:rsid w:val="00793A06"/>
    <w:rsid w:val="007A2D91"/>
    <w:rsid w:val="007D37BF"/>
    <w:rsid w:val="007F120B"/>
    <w:rsid w:val="007F6AC4"/>
    <w:rsid w:val="00822E7A"/>
    <w:rsid w:val="00831F1A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043C1"/>
    <w:rsid w:val="00B31432"/>
    <w:rsid w:val="00B55CBF"/>
    <w:rsid w:val="00B62A43"/>
    <w:rsid w:val="00B653D6"/>
    <w:rsid w:val="00B84EF9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2258A"/>
    <w:rsid w:val="00C4273C"/>
    <w:rsid w:val="00C60A94"/>
    <w:rsid w:val="00C613D1"/>
    <w:rsid w:val="00C61B35"/>
    <w:rsid w:val="00C67171"/>
    <w:rsid w:val="00C6761D"/>
    <w:rsid w:val="00C7121F"/>
    <w:rsid w:val="00C71BD1"/>
    <w:rsid w:val="00C84B88"/>
    <w:rsid w:val="00C90F1F"/>
    <w:rsid w:val="00CA5619"/>
    <w:rsid w:val="00CB343F"/>
    <w:rsid w:val="00CC5773"/>
    <w:rsid w:val="00CE0F03"/>
    <w:rsid w:val="00D01C2A"/>
    <w:rsid w:val="00D1400B"/>
    <w:rsid w:val="00D57B98"/>
    <w:rsid w:val="00D622BE"/>
    <w:rsid w:val="00D66CF0"/>
    <w:rsid w:val="00D73F09"/>
    <w:rsid w:val="00D8137A"/>
    <w:rsid w:val="00D9050C"/>
    <w:rsid w:val="00D95A56"/>
    <w:rsid w:val="00DA4F43"/>
    <w:rsid w:val="00DC0DB2"/>
    <w:rsid w:val="00DD4923"/>
    <w:rsid w:val="00DE73AA"/>
    <w:rsid w:val="00E02A05"/>
    <w:rsid w:val="00E06EEE"/>
    <w:rsid w:val="00E0769A"/>
    <w:rsid w:val="00E11B1F"/>
    <w:rsid w:val="00E2661C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720CA"/>
    <w:rsid w:val="00F81772"/>
    <w:rsid w:val="00FB2D95"/>
    <w:rsid w:val="00FB5887"/>
    <w:rsid w:val="00FB7B1B"/>
    <w:rsid w:val="00FC582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50A38-2FE4-48EF-97C9-B7623BB9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21</Pages>
  <Words>5738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39516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Helena Gondekova</cp:lastModifiedBy>
  <cp:revision>6</cp:revision>
  <cp:lastPrinted>2016-08-31T09:04:00Z</cp:lastPrinted>
  <dcterms:created xsi:type="dcterms:W3CDTF">2018-08-10T19:20:00Z</dcterms:created>
  <dcterms:modified xsi:type="dcterms:W3CDTF">2018-08-30T18:48:00Z</dcterms:modified>
</cp:coreProperties>
</file>