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B4CB" w14:textId="709891A6" w:rsidR="005B7ECE" w:rsidRPr="00003626" w:rsidRDefault="006C7E30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r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Školní </w:t>
      </w:r>
      <w:proofErr w:type="gramStart"/>
      <w:r>
        <w:rPr>
          <w:rFonts w:ascii="Times New Roman" w:eastAsia="Times New Roman" w:hAnsi="Times New Roman"/>
          <w:b/>
          <w:sz w:val="47"/>
          <w:szCs w:val="47"/>
          <w:lang w:eastAsia="cs-CZ"/>
        </w:rPr>
        <w:t>p</w:t>
      </w:r>
      <w:r w:rsidR="005B7ECE"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reventivní  program</w:t>
      </w:r>
      <w:proofErr w:type="gramEnd"/>
    </w:p>
    <w:p w14:paraId="042AC264" w14:textId="629C9900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</w:t>
      </w:r>
      <w:r w:rsidR="00CD709B">
        <w:rPr>
          <w:rFonts w:ascii="Times New Roman" w:eastAsia="Times New Roman" w:hAnsi="Times New Roman"/>
          <w:sz w:val="35"/>
          <w:szCs w:val="35"/>
          <w:lang w:eastAsia="cs-CZ"/>
        </w:rPr>
        <w:t>2</w:t>
      </w:r>
      <w:r w:rsidR="00CD37CA">
        <w:rPr>
          <w:rFonts w:ascii="Times New Roman" w:eastAsia="Times New Roman" w:hAnsi="Times New Roman"/>
          <w:sz w:val="35"/>
          <w:szCs w:val="35"/>
          <w:lang w:eastAsia="cs-CZ"/>
        </w:rPr>
        <w:t>3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</w:t>
      </w:r>
      <w:r w:rsidR="00C83CF6">
        <w:rPr>
          <w:rFonts w:ascii="Times New Roman" w:eastAsia="Times New Roman" w:hAnsi="Times New Roman"/>
          <w:sz w:val="35"/>
          <w:szCs w:val="35"/>
          <w:lang w:eastAsia="cs-CZ"/>
        </w:rPr>
        <w:t>2</w:t>
      </w:r>
      <w:r w:rsidR="00CD37CA">
        <w:rPr>
          <w:rFonts w:ascii="Times New Roman" w:eastAsia="Times New Roman" w:hAnsi="Times New Roman"/>
          <w:sz w:val="35"/>
          <w:szCs w:val="35"/>
          <w:lang w:eastAsia="cs-CZ"/>
        </w:rPr>
        <w:t>4</w:t>
      </w:r>
    </w:p>
    <w:p w14:paraId="7770265B" w14:textId="77777777" w:rsidR="005B7ECE" w:rsidRPr="0080064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Obsah</w:t>
      </w:r>
    </w:p>
    <w:p w14:paraId="247C5B75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Úvod</w:t>
      </w:r>
    </w:p>
    <w:p w14:paraId="51CD6EA5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511A934C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chování</w:t>
      </w:r>
    </w:p>
    <w:p w14:paraId="03919EE8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B007A0"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0489EB06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A09F642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Analýza současného stavu</w:t>
      </w:r>
    </w:p>
    <w:p w14:paraId="2B391AD8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Primární prevence</w:t>
      </w:r>
      <w:r w:rsidR="006911C6"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v jednotlivých ročnících</w:t>
      </w:r>
    </w:p>
    <w:p w14:paraId="48C79447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Metody práce</w:t>
      </w:r>
    </w:p>
    <w:p w14:paraId="2B905065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Vzdělávání pedagogů</w:t>
      </w:r>
    </w:p>
    <w:p w14:paraId="5A68FC0B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Spolupráce s rodiči</w:t>
      </w:r>
    </w:p>
    <w:p w14:paraId="089A2B89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Jednorázové aktivity a kroužky ve škole</w:t>
      </w:r>
    </w:p>
    <w:p w14:paraId="1D84CBB6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0A87CDA7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Spolupráce s odborníky a dalšími organizacemi</w:t>
      </w:r>
    </w:p>
    <w:p w14:paraId="16E92C8E" w14:textId="3BB7EED0" w:rsidR="00C61B35" w:rsidRPr="00800646" w:rsidRDefault="00E921E5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Harmonogram programu v roce </w:t>
      </w:r>
      <w:proofErr w:type="gramStart"/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20</w:t>
      </w:r>
      <w:r w:rsidR="00CD709B"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2</w:t>
      </w:r>
      <w:r w:rsidR="00CD37CA">
        <w:rPr>
          <w:rFonts w:ascii="Times New Roman" w:eastAsia="Times New Roman" w:hAnsi="Times New Roman"/>
          <w:b/>
          <w:sz w:val="31"/>
          <w:szCs w:val="31"/>
          <w:lang w:eastAsia="cs-CZ"/>
        </w:rPr>
        <w:t>3</w:t>
      </w: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- 20</w:t>
      </w:r>
      <w:r w:rsidR="003B6FD2"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2</w:t>
      </w:r>
      <w:r w:rsidR="00CD37CA">
        <w:rPr>
          <w:rFonts w:ascii="Times New Roman" w:eastAsia="Times New Roman" w:hAnsi="Times New Roman"/>
          <w:b/>
          <w:sz w:val="31"/>
          <w:szCs w:val="31"/>
          <w:lang w:eastAsia="cs-CZ"/>
        </w:rPr>
        <w:t>4</w:t>
      </w:r>
      <w:proofErr w:type="gramEnd"/>
    </w:p>
    <w:p w14:paraId="46CC4B42" w14:textId="77777777" w:rsidR="00020E7D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Závěr</w:t>
      </w:r>
    </w:p>
    <w:p w14:paraId="77169F8B" w14:textId="70BABC07" w:rsidR="0044775C" w:rsidRPr="00800646" w:rsidRDefault="0044775C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Doporučená literatura k prevenci rizikového chován</w:t>
      </w:r>
      <w:r w:rsidR="00487CC4"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39F3917B" w14:textId="77777777" w:rsidR="005B7ECE" w:rsidRPr="00800646" w:rsidRDefault="005B7ECE" w:rsidP="0080064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80064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4A71B2F2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</w:t>
      </w:r>
      <w:r w:rsidR="006C7E30">
        <w:rPr>
          <w:sz w:val="27"/>
          <w:szCs w:val="27"/>
        </w:rPr>
        <w:t>Školní p</w:t>
      </w:r>
      <w:r w:rsidRPr="00003626">
        <w:rPr>
          <w:sz w:val="27"/>
          <w:szCs w:val="27"/>
        </w:rPr>
        <w:t xml:space="preserve">reventivní program je zaměřen na předcházení, včasné odhalení a intervenci všech forem rizikového chování, které se stává celospolečenským problémem. Týká se žáků staršího školního věku, ale objevuje se i u dětí mladšího školního věku. 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4F91AD7A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="006C7E30">
        <w:rPr>
          <w:rFonts w:ascii="Times New Roman" w:eastAsia="Times New Roman" w:hAnsi="Times New Roman"/>
          <w:sz w:val="27"/>
          <w:szCs w:val="27"/>
          <w:lang w:eastAsia="cs-CZ"/>
        </w:rPr>
        <w:t>Školní p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5B5F0819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</w:t>
      </w:r>
      <w:proofErr w:type="gramStart"/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>Patří</w:t>
      </w:r>
      <w:proofErr w:type="gramEnd"/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agrese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, šikana, kyberšikana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užívání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NE!,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5D6584F3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Cílem </w:t>
      </w:r>
      <w:r w:rsidR="002F3431">
        <w:rPr>
          <w:rFonts w:ascii="Times New Roman" w:eastAsia="Times New Roman" w:hAnsi="Times New Roman"/>
          <w:sz w:val="27"/>
          <w:szCs w:val="27"/>
          <w:lang w:eastAsia="cs-CZ"/>
        </w:rPr>
        <w:t>Školního 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2F3431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0FEFA04C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 xml:space="preserve">Hlavní váha při realizaci </w:t>
      </w:r>
      <w:r w:rsidR="002F3431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PP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leží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306C98D3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</w:t>
      </w:r>
      <w:r w:rsidR="008E4975">
        <w:rPr>
          <w:rFonts w:ascii="Times New Roman" w:eastAsia="Times New Roman" w:hAnsi="Times New Roman"/>
          <w:sz w:val="27"/>
          <w:szCs w:val="27"/>
          <w:lang w:eastAsia="cs-CZ"/>
        </w:rPr>
        <w:t xml:space="preserve">měřuje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školu k inkluzi. Mezi výchovně vzdělávací strategie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patří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využí</w:t>
      </w:r>
      <w:r w:rsidR="008E4975">
        <w:rPr>
          <w:rFonts w:ascii="Times New Roman" w:eastAsia="Times New Roman" w:hAnsi="Times New Roman"/>
          <w:sz w:val="27"/>
          <w:szCs w:val="27"/>
          <w:lang w:eastAsia="cs-CZ"/>
        </w:rPr>
        <w:t>vání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proofErr w:type="spellStart"/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2DC16C6B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jejichž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domluvě během celého školního roku), nejčastěji je však využívána právě v době zápisu a v nižších třídách</w:t>
      </w:r>
    </w:p>
    <w:p w14:paraId="2293D842" w14:textId="2879F35F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vzdělávání pedagogů – vedení školy podporuje další vzdělávání pedagogů – v současnosti jsme se zaměřili na semináře týkající se vedení třídnických hodin, práci s třídním kolektivem a prevenci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665D01BB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</w:t>
      </w:r>
      <w:r w:rsidR="00702CD1">
        <w:rPr>
          <w:rFonts w:ascii="Times New Roman" w:eastAsia="Times New Roman" w:hAnsi="Times New Roman"/>
          <w:sz w:val="27"/>
          <w:szCs w:val="27"/>
          <w:lang w:eastAsia="cs-CZ"/>
        </w:rPr>
        <w:t>čky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C3A5B76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39228B65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 realizaci </w:t>
      </w:r>
      <w:r w:rsidR="00066A2A">
        <w:rPr>
          <w:rFonts w:ascii="Times New Roman" w:eastAsia="Times New Roman" w:hAnsi="Times New Roman"/>
          <w:sz w:val="27"/>
          <w:szCs w:val="27"/>
          <w:lang w:eastAsia="cs-CZ"/>
        </w:rPr>
        <w:t>ŠPP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á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</w:t>
      </w:r>
      <w:r w:rsidR="00066A2A">
        <w:rPr>
          <w:rFonts w:ascii="Times New Roman" w:eastAsia="Times New Roman" w:hAnsi="Times New Roman"/>
          <w:sz w:val="27"/>
          <w:szCs w:val="27"/>
          <w:lang w:eastAsia="cs-CZ"/>
        </w:rPr>
        <w:t xml:space="preserve">ŠPP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</w:t>
      </w:r>
      <w:proofErr w:type="gramStart"/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>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</w:t>
      </w:r>
      <w:proofErr w:type="gramEnd"/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porad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kyní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</w:t>
      </w:r>
      <w:r w:rsidR="00066A2A">
        <w:rPr>
          <w:rFonts w:ascii="Times New Roman" w:eastAsia="Times New Roman" w:hAnsi="Times New Roman"/>
          <w:sz w:val="27"/>
          <w:szCs w:val="27"/>
          <w:lang w:eastAsia="cs-CZ"/>
        </w:rPr>
        <w:t>ŠPP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informuje vedení školy a spolu s ním pravidelně vyhodnocuje aktuální situaci ve škole.</w:t>
      </w:r>
    </w:p>
    <w:p w14:paraId="0C4660D3" w14:textId="5C98BE5C" w:rsidR="0005395F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E15BAB5" w14:textId="77777777" w:rsidR="00066A2A" w:rsidRDefault="00066A2A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63CA0AF" w14:textId="77777777" w:rsidR="00066A2A" w:rsidRPr="00003626" w:rsidRDefault="00066A2A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2EAA3764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</w:t>
      </w:r>
      <w:proofErr w:type="gramStart"/>
      <w:r w:rsidRPr="00003626">
        <w:rPr>
          <w:sz w:val="27"/>
          <w:szCs w:val="27"/>
        </w:rPr>
        <w:t>slouží</w:t>
      </w:r>
      <w:proofErr w:type="gramEnd"/>
      <w:r w:rsidRPr="00003626">
        <w:rPr>
          <w:sz w:val="27"/>
          <w:szCs w:val="27"/>
        </w:rPr>
        <w:t xml:space="preserve"> dotazníky, které ukazují na informovanost žáků o sociálně patologických jevech, možný výskyt návykových látek na škole i mimo </w:t>
      </w:r>
      <w:r w:rsidR="00D96B2F">
        <w:rPr>
          <w:sz w:val="27"/>
          <w:szCs w:val="27"/>
        </w:rPr>
        <w:t>školu</w:t>
      </w:r>
      <w:r w:rsidRPr="00003626">
        <w:rPr>
          <w:sz w:val="27"/>
          <w:szCs w:val="27"/>
        </w:rPr>
        <w:t>,</w:t>
      </w:r>
      <w:r w:rsidR="00D96B2F">
        <w:rPr>
          <w:sz w:val="27"/>
          <w:szCs w:val="27"/>
        </w:rPr>
        <w:t xml:space="preserve"> </w:t>
      </w:r>
      <w:r w:rsidRPr="00003626">
        <w:rPr>
          <w:sz w:val="27"/>
          <w:szCs w:val="27"/>
        </w:rPr>
        <w:t>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613A822E" w:rsidR="00E4599B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součást výuky = hlavní podíl na plnění </w:t>
      </w:r>
      <w:r w:rsidR="00AC1315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PP mají pedagogičtí a nepedagogičtí pracovníci školy</w:t>
      </w:r>
      <w:r w:rsidR="005E5822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12698176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 na starosti třídní učitel, záleží do značné míry na jeho osobnosti, jak bude pracovat, do kterých předmětů zařadí níže vyjmenované tematické okruhy. Stačí, když si bude uvědomovat svůj podíl na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syndrom </w:t>
      </w:r>
      <w:proofErr w:type="gramStart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CAN - syndrom</w:t>
      </w:r>
      <w:proofErr w:type="gramEnd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17E3C71C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Kompetence - po</w:t>
      </w:r>
      <w:proofErr w:type="gramEnd"/>
      <w:r w:rsidR="005A3B7B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rozvoj schopnosti klást otázky, umění vyjádřit svůj názor, umění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říci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 - informovat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498579E" w:rsidR="00E4599B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663ABE" w14:textId="77777777" w:rsidR="003B6FD2" w:rsidRPr="00003626" w:rsidRDefault="003B6FD2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EC21D03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podpora abstinence </w:t>
      </w:r>
      <w:r w:rsidR="002F07C3"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návykových – látek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trénink obrany před manipulací, s uměním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říci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0DA6C1E8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</w:t>
      </w:r>
      <w:r w:rsidR="00985935">
        <w:rPr>
          <w:rFonts w:ascii="Times New Roman" w:eastAsia="Times New Roman" w:hAnsi="Times New Roman"/>
          <w:sz w:val="27"/>
          <w:szCs w:val="27"/>
          <w:lang w:eastAsia="cs-CZ"/>
        </w:rPr>
        <w:t>ŠPP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5339035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>Školní metodi</w:t>
      </w:r>
      <w:r w:rsidR="00390FDE">
        <w:rPr>
          <w:sz w:val="27"/>
          <w:szCs w:val="27"/>
        </w:rPr>
        <w:t>čka</w:t>
      </w:r>
      <w:r w:rsidR="00D622BE" w:rsidRPr="00003626">
        <w:rPr>
          <w:sz w:val="27"/>
          <w:szCs w:val="27"/>
        </w:rPr>
        <w:t xml:space="preserve"> prevence je plně kvalifikovan</w:t>
      </w:r>
      <w:r w:rsidR="00390FDE">
        <w:rPr>
          <w:sz w:val="27"/>
          <w:szCs w:val="27"/>
        </w:rPr>
        <w:t>á</w:t>
      </w:r>
      <w:r w:rsidR="00D622BE" w:rsidRPr="00003626">
        <w:rPr>
          <w:sz w:val="27"/>
          <w:szCs w:val="27"/>
        </w:rPr>
        <w:t>, absolvoval</w:t>
      </w:r>
      <w:r w:rsidR="00390FDE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 xml:space="preserve">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2C8EB0F4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Rodiče jsou o </w:t>
      </w:r>
      <w:r w:rsidR="008B1488">
        <w:rPr>
          <w:rFonts w:ascii="Times New Roman" w:eastAsia="Times New Roman" w:hAnsi="Times New Roman"/>
          <w:bCs/>
          <w:sz w:val="27"/>
          <w:szCs w:val="27"/>
          <w:lang w:eastAsia="cs-CZ"/>
        </w:rPr>
        <w:t>ŠPP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prevence, výchovn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á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porad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kyně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případně zástupce vedení školy. S </w:t>
      </w:r>
      <w:r w:rsidR="008B1488">
        <w:rPr>
          <w:rFonts w:ascii="Times New Roman" w:eastAsia="Times New Roman" w:hAnsi="Times New Roman"/>
          <w:bCs/>
          <w:sz w:val="27"/>
          <w:szCs w:val="27"/>
          <w:lang w:eastAsia="cs-CZ"/>
        </w:rPr>
        <w:t>ŠPP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01D92140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 xml:space="preserve">Aktivity, které se opakují: např. </w:t>
      </w:r>
      <w:r w:rsidR="00657037">
        <w:rPr>
          <w:bCs/>
          <w:sz w:val="27"/>
          <w:szCs w:val="27"/>
        </w:rPr>
        <w:t xml:space="preserve">Měcholupský maraton, </w:t>
      </w:r>
      <w:r w:rsidR="00E750C3" w:rsidRPr="00003626">
        <w:rPr>
          <w:bCs/>
          <w:sz w:val="27"/>
          <w:szCs w:val="27"/>
        </w:rPr>
        <w:t>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 xml:space="preserve">, </w:t>
      </w:r>
      <w:r w:rsidR="00657037">
        <w:rPr>
          <w:bCs/>
          <w:sz w:val="27"/>
          <w:szCs w:val="27"/>
        </w:rPr>
        <w:t xml:space="preserve">Školní ples, </w:t>
      </w:r>
      <w:proofErr w:type="spellStart"/>
      <w:proofErr w:type="gramStart"/>
      <w:r w:rsidR="00D622BE" w:rsidRPr="00003626">
        <w:rPr>
          <w:bCs/>
          <w:sz w:val="27"/>
          <w:szCs w:val="27"/>
        </w:rPr>
        <w:t>Akademie,</w:t>
      </w:r>
      <w:r w:rsidR="00E750C3" w:rsidRPr="00003626">
        <w:rPr>
          <w:bCs/>
          <w:sz w:val="27"/>
          <w:szCs w:val="27"/>
        </w:rPr>
        <w:t>atd</w:t>
      </w:r>
      <w:proofErr w:type="spellEnd"/>
      <w:r w:rsidR="00E750C3" w:rsidRPr="00003626">
        <w:rPr>
          <w:bCs/>
          <w:sz w:val="27"/>
          <w:szCs w:val="27"/>
        </w:rPr>
        <w:t>.</w:t>
      </w:r>
      <w:proofErr w:type="gramEnd"/>
      <w:r w:rsidR="00E750C3" w:rsidRPr="00003626">
        <w:rPr>
          <w:bCs/>
          <w:sz w:val="27"/>
          <w:szCs w:val="27"/>
        </w:rPr>
        <w:t xml:space="preserve">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6BFDF3BA" w14:textId="365A9BF3" w:rsidR="00014777" w:rsidRPr="00014777" w:rsidRDefault="00D96B2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Výuka plavání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0DB96951" w14:textId="0A25BAF8" w:rsidR="002D50CB" w:rsidRPr="00003626" w:rsidRDefault="005B7ECE" w:rsidP="00D96B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3F98A73E" w:rsidR="00137675" w:rsidRPr="00003626" w:rsidRDefault="00B6673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/>
          <w:sz w:val="23"/>
          <w:szCs w:val="23"/>
          <w:lang w:eastAsia="cs-CZ"/>
        </w:rPr>
        <w:t>Jablečný den</w:t>
      </w:r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20473C44" w:rsidR="0073375B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</w:t>
      </w:r>
      <w:r w:rsidR="00CB554F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lese</w:t>
      </w:r>
    </w:p>
    <w:p w14:paraId="7A0AD4D5" w14:textId="239A8447" w:rsidR="00CB554F" w:rsidRDefault="00CB554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Ovoce do škol</w:t>
      </w:r>
    </w:p>
    <w:p w14:paraId="7E9FB474" w14:textId="127B4F43" w:rsidR="00CB554F" w:rsidRPr="009F4B4A" w:rsidRDefault="00CB554F" w:rsidP="009F4B4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Dopravní výchova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54AC3993" w14:textId="71192407" w:rsidR="0005395F" w:rsidRPr="00B37A0A" w:rsidRDefault="00D57B98" w:rsidP="00B37A0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15E4362A" w14:textId="370E769B" w:rsidR="00120F51" w:rsidRPr="00324631" w:rsidRDefault="005E72C4" w:rsidP="006441E0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324631">
        <w:rPr>
          <w:rFonts w:ascii="Times New Roman" w:eastAsia="Times New Roman" w:hAnsi="Times New Roman"/>
          <w:bCs/>
          <w:sz w:val="27"/>
          <w:szCs w:val="27"/>
          <w:lang w:eastAsia="cs-CZ"/>
        </w:rPr>
        <w:t>Tematické přednášky a workshopy</w:t>
      </w:r>
      <w:r w:rsidR="00324631" w:rsidRPr="00324631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324631" w:rsidRPr="00324631">
        <w:rPr>
          <w:rFonts w:ascii="Times New Roman" w:eastAsia="Times New Roman" w:hAnsi="Times New Roman"/>
          <w:b/>
          <w:sz w:val="27"/>
          <w:szCs w:val="27"/>
          <w:lang w:eastAsia="cs-CZ"/>
        </w:rPr>
        <w:t>pořádané dobrovolnickým centrem Radka – Kadaň.</w:t>
      </w:r>
      <w:r w:rsidRPr="00324631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r w:rsidR="00120F51" w:rsidRPr="00324631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027C8940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05E7B8DC" w14:textId="77777777" w:rsidR="002F07C3" w:rsidRPr="00003626" w:rsidRDefault="002F07C3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575B48E1" w:rsidR="00C61B35" w:rsidRPr="0085371A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Harmonogram programu v roce </w:t>
      </w:r>
      <w:proofErr w:type="gramStart"/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20</w:t>
      </w:r>
      <w:r w:rsidR="00825E48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</w:t>
      </w:r>
      <w:r w:rsidR="00720695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3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</w:t>
      </w:r>
      <w:r w:rsidR="00984AF8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–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20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</w:t>
      </w:r>
      <w:r w:rsidR="00720695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4</w:t>
      </w:r>
      <w:proofErr w:type="gramEnd"/>
    </w:p>
    <w:p w14:paraId="5E4D39A3" w14:textId="77777777" w:rsidR="005D626F" w:rsidRPr="00003626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280E3BA3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</w:t>
      </w:r>
      <w:r w:rsidR="00720695">
        <w:rPr>
          <w:rFonts w:ascii="Times New Roman" w:eastAsia="Times New Roman" w:hAnsi="Times New Roman"/>
          <w:b/>
          <w:sz w:val="27"/>
          <w:szCs w:val="27"/>
          <w:lang w:eastAsia="cs-CZ"/>
        </w:rPr>
        <w:t> PP</w:t>
      </w:r>
      <w:r w:rsidR="007206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listopad  -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318D68B5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3. Seznámení rodičů s </w:t>
      </w:r>
      <w:r w:rsidR="008C41EC">
        <w:rPr>
          <w:rFonts w:ascii="Times New Roman" w:eastAsia="Times New Roman" w:hAnsi="Times New Roman"/>
          <w:b/>
          <w:sz w:val="27"/>
          <w:szCs w:val="27"/>
          <w:lang w:eastAsia="cs-CZ"/>
        </w:rPr>
        <w:t>P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16D27BB4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</w:t>
      </w:r>
      <w:r w:rsidR="00C163D7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C163D7" w:rsidRPr="00C163D7">
        <w:rPr>
          <w:rFonts w:ascii="Times New Roman" w:eastAsia="Times New Roman" w:hAnsi="Times New Roman"/>
          <w:bCs/>
          <w:sz w:val="27"/>
          <w:szCs w:val="27"/>
          <w:lang w:eastAsia="cs-CZ"/>
        </w:rPr>
        <w:t>dobrovolnickým centrem Radka – Kadaň.</w:t>
      </w:r>
      <w:r w:rsidR="00C163D7" w:rsidRPr="00324631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se uskuteční </w:t>
      </w:r>
      <w:r w:rsidR="00C163D7">
        <w:rPr>
          <w:rFonts w:ascii="Times New Roman" w:eastAsia="Times New Roman" w:hAnsi="Times New Roman"/>
          <w:bCs/>
          <w:sz w:val="27"/>
          <w:szCs w:val="27"/>
          <w:lang w:eastAsia="cs-CZ"/>
        </w:rPr>
        <w:t>workshopy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proofErr w:type="gramStart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</w:t>
      </w:r>
      <w:proofErr w:type="gramEnd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prevence agrese, </w:t>
      </w:r>
      <w:r w:rsidR="00C163D7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kyberšikana, 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>násilí, klima</w:t>
      </w:r>
      <w:r w:rsidR="00833954">
        <w:rPr>
          <w:rFonts w:ascii="Times New Roman" w:eastAsia="Times New Roman" w:hAnsi="Times New Roman"/>
          <w:bCs/>
          <w:sz w:val="27"/>
          <w:szCs w:val="27"/>
          <w:lang w:eastAsia="cs-CZ"/>
        </w:rPr>
        <w:t>..)</w:t>
      </w: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D83CA14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Šikana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je v jednání s Mě  Policií Žatec termín 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>listopad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5912A849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</w:t>
      </w:r>
      <w:r w:rsidR="00D0078E">
        <w:rPr>
          <w:bCs/>
          <w:sz w:val="27"/>
          <w:szCs w:val="27"/>
        </w:rPr>
        <w:t>Školní p</w:t>
      </w:r>
      <w:r w:rsidRPr="00003626">
        <w:rPr>
          <w:bCs/>
          <w:sz w:val="27"/>
          <w:szCs w:val="27"/>
        </w:rPr>
        <w:t>reventivní program školy je součástí výchovy a vzdělání žáků po celou dobu povinné školní docházky. Účastní se ho pedagogický sbor, žáci, rodiče a odborníci. V rámci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7A4A3C8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C221995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56CC91C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FBBE9F3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34E52BE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33D0946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11A2F2F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55BE205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ADA31" w14:textId="77777777" w:rsidR="006247CF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06DE015" w14:textId="77777777" w:rsidR="006247CF" w:rsidRPr="00003626" w:rsidRDefault="006247C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24BAA46" w14:textId="77777777" w:rsidR="00A4302F" w:rsidRPr="00003626" w:rsidRDefault="00A4302F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Martínek Zdeněk, „Agresivita a kriminalita školní mládeže“ Grada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Křivohlavý Jaro,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Pozitivní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Teambuilding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Grada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Deprese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312DE7D5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923AD85" w14:textId="77777777" w:rsidR="0085371A" w:rsidRPr="00003626" w:rsidRDefault="0085371A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Kyberšikana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2012).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(Ed.) (2004) Školní šikanování. Sborník z první celostátní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30.3. 2004.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Kolektiv autorů (2012). Elektronická šikana a jak jí řešit. (Metodický materiál.)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Praha:  NCBI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Kyberšikana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(2011). Kyberšikana.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P., Janošová, P. (2010). Jak na šikanu. Praha: Grada.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 56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In:   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( 2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3-7.</w:t>
      </w:r>
    </w:p>
    <w:p w14:paraId="639C3A2C" w14:textId="369B6071" w:rsidR="00C90F1F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M. a kol. (2012). Návrh doporučené struktury MPP prevence rizikového chování pro ZŠ. Praha: Klinika adiktologie 1.LF KU</w:t>
      </w:r>
    </w:p>
    <w:p w14:paraId="01CFA73F" w14:textId="77777777" w:rsidR="007A7967" w:rsidRPr="00003626" w:rsidRDefault="007A7967" w:rsidP="007A796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164FC759" w:rsidR="00C90F1F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D9F624D" w14:textId="77777777" w:rsidR="007A7967" w:rsidRPr="00003626" w:rsidRDefault="007A7967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67343794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“co dělat” - pro školy (učitel, ředitel</w:t>
      </w:r>
      <w:r w:rsidR="003A77B1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ka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72BCF06F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60C69D" w14:textId="7CB04B46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244BF42" w14:textId="726A0025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7947BFB" w14:textId="21EE8D4C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7AF587A" w14:textId="77777777" w:rsidR="0086084F" w:rsidRPr="00003626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51327FB1" w14:textId="77777777" w:rsidR="0086084F" w:rsidRDefault="0086084F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F14445" w14:textId="696B3739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6247CF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6247C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6247C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6247C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6247C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lastRenderedPageBreak/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6DADBDFD" w14:textId="77777777" w:rsidR="006247CF" w:rsidRPr="00003626" w:rsidRDefault="006247CF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577A7C15" w14:textId="6A9B002F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</w:t>
      </w:r>
      <w:r w:rsidR="00FB0FB3">
        <w:rPr>
          <w:rFonts w:ascii="Times New Roman" w:eastAsia="Times New Roman" w:hAnsi="Times New Roman"/>
          <w:b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</w:t>
      </w:r>
      <w:proofErr w:type="gramEnd"/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6DA68F14" w14:textId="77777777" w:rsidR="006247CF" w:rsidRPr="00003626" w:rsidRDefault="006247CF" w:rsidP="006247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nástěnka - první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4EFE740" w14:textId="77777777" w:rsidR="006247CF" w:rsidRPr="00003626" w:rsidRDefault="006247C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719539F4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</w:t>
      </w:r>
      <w:r w:rsidR="00FC697E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="00661E5F">
        <w:rPr>
          <w:rFonts w:ascii="Times New Roman" w:eastAsia="Times New Roman" w:hAnsi="Times New Roman"/>
          <w:sz w:val="27"/>
          <w:szCs w:val="27"/>
          <w:lang w:eastAsia="cs-CZ"/>
        </w:rPr>
        <w:t>3</w:t>
      </w:r>
    </w:p>
    <w:p w14:paraId="58C93B87" w14:textId="77777777" w:rsidR="00572AE0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7B729" w14:textId="77777777" w:rsidR="006247CF" w:rsidRDefault="006247CF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FF647B" w14:textId="77777777" w:rsidR="006247CF" w:rsidRPr="00003626" w:rsidRDefault="006247CF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5481CE75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Metodik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prevence:   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Ředitel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školy:</w:t>
      </w:r>
    </w:p>
    <w:p w14:paraId="2AA527AE" w14:textId="143EE199" w:rsidR="001D0238" w:rsidRDefault="006763F5" w:rsidP="00D96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 xml:space="preserve">Mgr. Klára </w:t>
      </w:r>
      <w:proofErr w:type="spellStart"/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Cíglová</w:t>
      </w:r>
      <w:proofErr w:type="spellEnd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6712E088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B85878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6C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C00CC"/>
    <w:multiLevelType w:val="multilevel"/>
    <w:tmpl w:val="A21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79412909">
    <w:abstractNumId w:val="20"/>
  </w:num>
  <w:num w:numId="2" w16cid:durableId="727849483">
    <w:abstractNumId w:val="27"/>
  </w:num>
  <w:num w:numId="3" w16cid:durableId="120705849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507208352">
    <w:abstractNumId w:val="15"/>
  </w:num>
  <w:num w:numId="5" w16cid:durableId="2145653417">
    <w:abstractNumId w:val="25"/>
  </w:num>
  <w:num w:numId="6" w16cid:durableId="1417049469">
    <w:abstractNumId w:val="34"/>
  </w:num>
  <w:num w:numId="7" w16cid:durableId="40598456">
    <w:abstractNumId w:val="26"/>
  </w:num>
  <w:num w:numId="8" w16cid:durableId="1318463095">
    <w:abstractNumId w:val="18"/>
  </w:num>
  <w:num w:numId="9" w16cid:durableId="777334833">
    <w:abstractNumId w:val="13"/>
  </w:num>
  <w:num w:numId="10" w16cid:durableId="1145581068">
    <w:abstractNumId w:val="35"/>
  </w:num>
  <w:num w:numId="11" w16cid:durableId="1532066224">
    <w:abstractNumId w:val="2"/>
  </w:num>
  <w:num w:numId="12" w16cid:durableId="262806618">
    <w:abstractNumId w:val="6"/>
  </w:num>
  <w:num w:numId="13" w16cid:durableId="1553276113">
    <w:abstractNumId w:val="16"/>
  </w:num>
  <w:num w:numId="14" w16cid:durableId="408163547">
    <w:abstractNumId w:val="17"/>
  </w:num>
  <w:num w:numId="15" w16cid:durableId="81923035">
    <w:abstractNumId w:val="21"/>
  </w:num>
  <w:num w:numId="16" w16cid:durableId="61566758">
    <w:abstractNumId w:val="7"/>
  </w:num>
  <w:num w:numId="17" w16cid:durableId="543368434">
    <w:abstractNumId w:val="22"/>
  </w:num>
  <w:num w:numId="18" w16cid:durableId="2074232372">
    <w:abstractNumId w:val="9"/>
  </w:num>
  <w:num w:numId="19" w16cid:durableId="623316435">
    <w:abstractNumId w:val="4"/>
  </w:num>
  <w:num w:numId="20" w16cid:durableId="1287127669">
    <w:abstractNumId w:val="32"/>
  </w:num>
  <w:num w:numId="21" w16cid:durableId="1073312908">
    <w:abstractNumId w:val="14"/>
  </w:num>
  <w:num w:numId="22" w16cid:durableId="1033454774">
    <w:abstractNumId w:val="31"/>
  </w:num>
  <w:num w:numId="23" w16cid:durableId="1930194540">
    <w:abstractNumId w:val="28"/>
  </w:num>
  <w:num w:numId="24" w16cid:durableId="1465539843">
    <w:abstractNumId w:val="8"/>
  </w:num>
  <w:num w:numId="25" w16cid:durableId="1332568047">
    <w:abstractNumId w:val="1"/>
  </w:num>
  <w:num w:numId="26" w16cid:durableId="619652869">
    <w:abstractNumId w:val="29"/>
  </w:num>
  <w:num w:numId="27" w16cid:durableId="1181697407">
    <w:abstractNumId w:val="5"/>
  </w:num>
  <w:num w:numId="28" w16cid:durableId="1347059064">
    <w:abstractNumId w:val="10"/>
  </w:num>
  <w:num w:numId="29" w16cid:durableId="1013412679">
    <w:abstractNumId w:val="33"/>
  </w:num>
  <w:num w:numId="30" w16cid:durableId="893195595">
    <w:abstractNumId w:val="12"/>
  </w:num>
  <w:num w:numId="31" w16cid:durableId="1293974446">
    <w:abstractNumId w:val="23"/>
  </w:num>
  <w:num w:numId="32" w16cid:durableId="1324122016">
    <w:abstractNumId w:val="19"/>
  </w:num>
  <w:num w:numId="33" w16cid:durableId="1803032695">
    <w:abstractNumId w:val="3"/>
  </w:num>
  <w:num w:numId="34" w16cid:durableId="1121874057">
    <w:abstractNumId w:val="24"/>
  </w:num>
  <w:num w:numId="35" w16cid:durableId="295110378">
    <w:abstractNumId w:val="30"/>
  </w:num>
  <w:num w:numId="36" w16cid:durableId="24746491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20E7D"/>
    <w:rsid w:val="0005395F"/>
    <w:rsid w:val="00066A2A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40109"/>
    <w:rsid w:val="00240D1D"/>
    <w:rsid w:val="00272050"/>
    <w:rsid w:val="002836FD"/>
    <w:rsid w:val="00294CAD"/>
    <w:rsid w:val="002A6E1E"/>
    <w:rsid w:val="002B710F"/>
    <w:rsid w:val="002B7A46"/>
    <w:rsid w:val="002C0814"/>
    <w:rsid w:val="002C393F"/>
    <w:rsid w:val="002D4D24"/>
    <w:rsid w:val="002D50CB"/>
    <w:rsid w:val="002F07C3"/>
    <w:rsid w:val="002F1967"/>
    <w:rsid w:val="002F3431"/>
    <w:rsid w:val="00306689"/>
    <w:rsid w:val="00324631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A77B1"/>
    <w:rsid w:val="003B0160"/>
    <w:rsid w:val="003B5C33"/>
    <w:rsid w:val="003B6FD2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A210F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A3B7B"/>
    <w:rsid w:val="005B7ECE"/>
    <w:rsid w:val="005C14C5"/>
    <w:rsid w:val="005C1EB4"/>
    <w:rsid w:val="005D626F"/>
    <w:rsid w:val="005E1C69"/>
    <w:rsid w:val="005E5822"/>
    <w:rsid w:val="005E72C4"/>
    <w:rsid w:val="005F2750"/>
    <w:rsid w:val="006008AA"/>
    <w:rsid w:val="0060169C"/>
    <w:rsid w:val="006247CF"/>
    <w:rsid w:val="00633B2D"/>
    <w:rsid w:val="00655241"/>
    <w:rsid w:val="00657037"/>
    <w:rsid w:val="00661E5F"/>
    <w:rsid w:val="00666200"/>
    <w:rsid w:val="006763F5"/>
    <w:rsid w:val="006911C6"/>
    <w:rsid w:val="006A0CD5"/>
    <w:rsid w:val="006B2337"/>
    <w:rsid w:val="006B5FFB"/>
    <w:rsid w:val="006B77E4"/>
    <w:rsid w:val="006C14B5"/>
    <w:rsid w:val="006C7E30"/>
    <w:rsid w:val="006E33D9"/>
    <w:rsid w:val="006F5704"/>
    <w:rsid w:val="006F6294"/>
    <w:rsid w:val="00702CD1"/>
    <w:rsid w:val="00704DA6"/>
    <w:rsid w:val="00710B63"/>
    <w:rsid w:val="00711F00"/>
    <w:rsid w:val="007202E2"/>
    <w:rsid w:val="00720695"/>
    <w:rsid w:val="0073375B"/>
    <w:rsid w:val="00750918"/>
    <w:rsid w:val="007555F8"/>
    <w:rsid w:val="00772B36"/>
    <w:rsid w:val="007749F8"/>
    <w:rsid w:val="00774AF4"/>
    <w:rsid w:val="00775EC3"/>
    <w:rsid w:val="00793A06"/>
    <w:rsid w:val="007A07B4"/>
    <w:rsid w:val="007A2D91"/>
    <w:rsid w:val="007A7967"/>
    <w:rsid w:val="007D3648"/>
    <w:rsid w:val="007D37BF"/>
    <w:rsid w:val="007F120B"/>
    <w:rsid w:val="007F6AC4"/>
    <w:rsid w:val="00800646"/>
    <w:rsid w:val="00822E7A"/>
    <w:rsid w:val="00825E48"/>
    <w:rsid w:val="00831F1A"/>
    <w:rsid w:val="00833954"/>
    <w:rsid w:val="008501CD"/>
    <w:rsid w:val="0085371A"/>
    <w:rsid w:val="0086084F"/>
    <w:rsid w:val="008827BB"/>
    <w:rsid w:val="008855D0"/>
    <w:rsid w:val="00896AFC"/>
    <w:rsid w:val="008A7BC1"/>
    <w:rsid w:val="008B1488"/>
    <w:rsid w:val="008B5432"/>
    <w:rsid w:val="008B5E71"/>
    <w:rsid w:val="008C19C6"/>
    <w:rsid w:val="008C41EC"/>
    <w:rsid w:val="008E2438"/>
    <w:rsid w:val="008E4975"/>
    <w:rsid w:val="009168AD"/>
    <w:rsid w:val="0091715C"/>
    <w:rsid w:val="00926179"/>
    <w:rsid w:val="00944F0B"/>
    <w:rsid w:val="00954CF9"/>
    <w:rsid w:val="00967BF9"/>
    <w:rsid w:val="0097798F"/>
    <w:rsid w:val="00984AF8"/>
    <w:rsid w:val="00985935"/>
    <w:rsid w:val="009A104B"/>
    <w:rsid w:val="009A21D7"/>
    <w:rsid w:val="009B6AE3"/>
    <w:rsid w:val="009F4B4A"/>
    <w:rsid w:val="00A052E5"/>
    <w:rsid w:val="00A11DE9"/>
    <w:rsid w:val="00A26E6C"/>
    <w:rsid w:val="00A37196"/>
    <w:rsid w:val="00A4302F"/>
    <w:rsid w:val="00A7279F"/>
    <w:rsid w:val="00A8441C"/>
    <w:rsid w:val="00AB5A76"/>
    <w:rsid w:val="00AC0B05"/>
    <w:rsid w:val="00AC1315"/>
    <w:rsid w:val="00AD67C3"/>
    <w:rsid w:val="00AF7119"/>
    <w:rsid w:val="00B007A0"/>
    <w:rsid w:val="00B043C1"/>
    <w:rsid w:val="00B31432"/>
    <w:rsid w:val="00B37A0A"/>
    <w:rsid w:val="00B55CBF"/>
    <w:rsid w:val="00B62A43"/>
    <w:rsid w:val="00B653D6"/>
    <w:rsid w:val="00B66731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163D7"/>
    <w:rsid w:val="00C2258A"/>
    <w:rsid w:val="00C4273C"/>
    <w:rsid w:val="00C57DF5"/>
    <w:rsid w:val="00C60A94"/>
    <w:rsid w:val="00C613D1"/>
    <w:rsid w:val="00C61615"/>
    <w:rsid w:val="00C61B35"/>
    <w:rsid w:val="00C67171"/>
    <w:rsid w:val="00C6761D"/>
    <w:rsid w:val="00C7121F"/>
    <w:rsid w:val="00C71BD1"/>
    <w:rsid w:val="00C83CF6"/>
    <w:rsid w:val="00C84B88"/>
    <w:rsid w:val="00C90F1F"/>
    <w:rsid w:val="00CA5619"/>
    <w:rsid w:val="00CB343F"/>
    <w:rsid w:val="00CB554F"/>
    <w:rsid w:val="00CC5773"/>
    <w:rsid w:val="00CD37CA"/>
    <w:rsid w:val="00CD709B"/>
    <w:rsid w:val="00CE0F03"/>
    <w:rsid w:val="00CF7825"/>
    <w:rsid w:val="00D0078E"/>
    <w:rsid w:val="00D01C2A"/>
    <w:rsid w:val="00D1400B"/>
    <w:rsid w:val="00D37C68"/>
    <w:rsid w:val="00D57B98"/>
    <w:rsid w:val="00D622BE"/>
    <w:rsid w:val="00D66CF0"/>
    <w:rsid w:val="00D73F09"/>
    <w:rsid w:val="00D8137A"/>
    <w:rsid w:val="00D9050C"/>
    <w:rsid w:val="00D95A56"/>
    <w:rsid w:val="00D96B2F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26F04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46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C697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F2EC5-AAEA-4EEB-919F-BB0568C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5664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39004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Helena Gondekova</cp:lastModifiedBy>
  <cp:revision>25</cp:revision>
  <cp:lastPrinted>2016-08-31T09:04:00Z</cp:lastPrinted>
  <dcterms:created xsi:type="dcterms:W3CDTF">2022-07-27T19:14:00Z</dcterms:created>
  <dcterms:modified xsi:type="dcterms:W3CDTF">2023-08-22T20:12:00Z</dcterms:modified>
</cp:coreProperties>
</file>